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60"/>
        <w:rPr>
          <w:sz w:val="20"/>
        </w:rPr>
      </w:pPr>
      <w:r>
        <w:rPr>
          <w:sz w:val="20"/>
        </w:rPr>
        <w:drawing>
          <wp:inline distT="0" distB="0" distL="0" distR="0">
            <wp:extent cx="3839319" cy="7072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839319" cy="707231"/>
                    </a:xfrm>
                    <a:prstGeom prst="rect">
                      <a:avLst/>
                    </a:prstGeom>
                  </pic:spPr>
                </pic:pic>
              </a:graphicData>
            </a:graphic>
          </wp:inline>
        </w:drawing>
      </w:r>
      <w:r>
        <w:rPr>
          <w:sz w:val="20"/>
        </w:rPr>
      </w:r>
    </w:p>
    <w:p>
      <w:pPr>
        <w:pStyle w:val="Heading1"/>
        <w:spacing w:before="130"/>
        <w:ind w:left="3470" w:right="3211" w:firstLine="492"/>
      </w:pPr>
      <w:r>
        <w:rPr/>
        <w:t>Faculty Meeting Friday,</w:t>
      </w:r>
      <w:r>
        <w:rPr>
          <w:spacing w:val="-13"/>
        </w:rPr>
        <w:t> </w:t>
      </w:r>
      <w:r>
        <w:rPr/>
        <w:t>November</w:t>
      </w:r>
      <w:r>
        <w:rPr>
          <w:spacing w:val="-14"/>
        </w:rPr>
        <w:t> </w:t>
      </w:r>
      <w:r>
        <w:rPr/>
        <w:t>1,</w:t>
      </w:r>
      <w:r>
        <w:rPr>
          <w:spacing w:val="-13"/>
        </w:rPr>
        <w:t> </w:t>
      </w:r>
      <w:r>
        <w:rPr/>
        <w:t>2019</w:t>
      </w:r>
    </w:p>
    <w:p>
      <w:pPr>
        <w:spacing w:before="0"/>
        <w:ind w:left="4192" w:right="3211" w:hanging="257"/>
        <w:jc w:val="left"/>
        <w:rPr>
          <w:b/>
          <w:sz w:val="24"/>
        </w:rPr>
      </w:pPr>
      <w:r>
        <w:rPr>
          <w:b/>
          <w:sz w:val="24"/>
        </w:rPr>
        <w:t>10:00</w:t>
      </w:r>
      <w:r>
        <w:rPr>
          <w:b/>
          <w:spacing w:val="-12"/>
          <w:sz w:val="24"/>
        </w:rPr>
        <w:t> </w:t>
      </w:r>
      <w:r>
        <w:rPr>
          <w:b/>
          <w:sz w:val="24"/>
        </w:rPr>
        <w:t>am</w:t>
      </w:r>
      <w:r>
        <w:rPr>
          <w:b/>
          <w:spacing w:val="-15"/>
          <w:sz w:val="24"/>
        </w:rPr>
        <w:t> </w:t>
      </w:r>
      <w:r>
        <w:rPr>
          <w:b/>
          <w:sz w:val="24"/>
        </w:rPr>
        <w:t>–</w:t>
      </w:r>
      <w:r>
        <w:rPr>
          <w:b/>
          <w:spacing w:val="-12"/>
          <w:sz w:val="24"/>
        </w:rPr>
        <w:t> </w:t>
      </w:r>
      <w:r>
        <w:rPr>
          <w:b/>
          <w:sz w:val="24"/>
        </w:rPr>
        <w:t>Noon </w:t>
      </w:r>
      <w:r>
        <w:rPr>
          <w:b/>
          <w:spacing w:val="-2"/>
          <w:sz w:val="24"/>
        </w:rPr>
        <w:t>Auditorium</w:t>
      </w:r>
    </w:p>
    <w:p>
      <w:pPr>
        <w:pStyle w:val="BodyText"/>
        <w:spacing w:before="43"/>
        <w:ind w:left="0"/>
        <w:rPr>
          <w:b/>
        </w:rPr>
      </w:pPr>
    </w:p>
    <w:p>
      <w:pPr>
        <w:pStyle w:val="BodyText"/>
      </w:pPr>
      <w:r>
        <w:rPr/>
        <w:t>The</w:t>
      </w:r>
      <w:r>
        <w:rPr>
          <w:spacing w:val="-3"/>
        </w:rPr>
        <w:t> </w:t>
      </w:r>
      <w:r>
        <w:rPr/>
        <w:t>following</w:t>
      </w:r>
      <w:r>
        <w:rPr>
          <w:spacing w:val="-3"/>
        </w:rPr>
        <w:t> </w:t>
      </w:r>
      <w:r>
        <w:rPr/>
        <w:t>is a</w:t>
      </w:r>
      <w:r>
        <w:rPr>
          <w:spacing w:val="-1"/>
        </w:rPr>
        <w:t> </w:t>
      </w:r>
      <w:r>
        <w:rPr/>
        <w:t>summary</w:t>
      </w:r>
      <w:r>
        <w:rPr>
          <w:spacing w:val="-5"/>
        </w:rPr>
        <w:t> </w:t>
      </w:r>
      <w:r>
        <w:rPr/>
        <w:t>of </w:t>
      </w:r>
      <w:r>
        <w:rPr>
          <w:spacing w:val="-2"/>
        </w:rPr>
        <w:t>events.</w:t>
      </w:r>
    </w:p>
    <w:p>
      <w:pPr>
        <w:pStyle w:val="BodyText"/>
        <w:spacing w:before="45"/>
        <w:ind w:left="0"/>
      </w:pPr>
    </w:p>
    <w:p>
      <w:pPr>
        <w:spacing w:before="1"/>
        <w:ind w:left="120" w:right="0" w:firstLine="0"/>
        <w:jc w:val="left"/>
        <w:rPr>
          <w:i/>
          <w:sz w:val="24"/>
        </w:rPr>
      </w:pPr>
      <w:r>
        <w:rPr>
          <w:b/>
          <w:sz w:val="24"/>
        </w:rPr>
        <w:t>Welcome</w:t>
      </w:r>
      <w:r>
        <w:rPr>
          <w:b/>
          <w:spacing w:val="-5"/>
          <w:sz w:val="24"/>
        </w:rPr>
        <w:t> </w:t>
      </w:r>
      <w:r>
        <w:rPr>
          <w:b/>
          <w:sz w:val="24"/>
        </w:rPr>
        <w:t>– </w:t>
      </w:r>
      <w:r>
        <w:rPr>
          <w:i/>
          <w:sz w:val="24"/>
        </w:rPr>
        <w:t>Jessica</w:t>
      </w:r>
      <w:r>
        <w:rPr>
          <w:i/>
          <w:spacing w:val="-2"/>
          <w:sz w:val="24"/>
        </w:rPr>
        <w:t> </w:t>
      </w:r>
      <w:r>
        <w:rPr>
          <w:i/>
          <w:sz w:val="24"/>
        </w:rPr>
        <w:t>Lester,</w:t>
      </w:r>
      <w:r>
        <w:rPr>
          <w:i/>
          <w:spacing w:val="-1"/>
          <w:sz w:val="24"/>
        </w:rPr>
        <w:t> </w:t>
      </w:r>
      <w:r>
        <w:rPr>
          <w:i/>
          <w:sz w:val="24"/>
        </w:rPr>
        <w:t>Faculty</w:t>
      </w:r>
      <w:r>
        <w:rPr>
          <w:i/>
          <w:spacing w:val="-3"/>
          <w:sz w:val="24"/>
        </w:rPr>
        <w:t> </w:t>
      </w:r>
      <w:r>
        <w:rPr>
          <w:i/>
          <w:sz w:val="24"/>
        </w:rPr>
        <w:t>Policy</w:t>
      </w:r>
      <w:r>
        <w:rPr>
          <w:i/>
          <w:spacing w:val="-3"/>
          <w:sz w:val="24"/>
        </w:rPr>
        <w:t> </w:t>
      </w:r>
      <w:r>
        <w:rPr>
          <w:i/>
          <w:sz w:val="24"/>
        </w:rPr>
        <w:t>Council</w:t>
      </w:r>
      <w:r>
        <w:rPr>
          <w:i/>
          <w:spacing w:val="-1"/>
          <w:sz w:val="24"/>
        </w:rPr>
        <w:t> </w:t>
      </w:r>
      <w:r>
        <w:rPr>
          <w:i/>
          <w:spacing w:val="-2"/>
          <w:sz w:val="24"/>
        </w:rPr>
        <w:t>Chair</w:t>
      </w:r>
    </w:p>
    <w:p>
      <w:pPr>
        <w:pStyle w:val="BodyText"/>
        <w:ind w:right="170"/>
      </w:pPr>
      <w:r>
        <w:rPr/>
        <w:t>J. Lester introduced herself, welcomed faculty and provided some context for the change in structure</w:t>
      </w:r>
      <w:r>
        <w:rPr>
          <w:spacing w:val="-1"/>
        </w:rPr>
        <w:t> </w:t>
      </w:r>
      <w:r>
        <w:rPr/>
        <w:t>for</w:t>
      </w:r>
      <w:r>
        <w:rPr>
          <w:spacing w:val="-1"/>
        </w:rPr>
        <w:t> </w:t>
      </w:r>
      <w:r>
        <w:rPr/>
        <w:t>this faculty</w:t>
      </w:r>
      <w:r>
        <w:rPr>
          <w:spacing w:val="-3"/>
        </w:rPr>
        <w:t> </w:t>
      </w:r>
      <w:r>
        <w:rPr/>
        <w:t>meeting as compared to prior</w:t>
      </w:r>
      <w:r>
        <w:rPr>
          <w:spacing w:val="-1"/>
        </w:rPr>
        <w:t> </w:t>
      </w:r>
      <w:r>
        <w:rPr/>
        <w:t>faculty</w:t>
      </w:r>
      <w:r>
        <w:rPr>
          <w:spacing w:val="-5"/>
        </w:rPr>
        <w:t> </w:t>
      </w:r>
      <w:r>
        <w:rPr/>
        <w:t>meetings. The</w:t>
      </w:r>
      <w:r>
        <w:rPr>
          <w:spacing w:val="-1"/>
        </w:rPr>
        <w:t> </w:t>
      </w:r>
      <w:r>
        <w:rPr/>
        <w:t>goal is to make these</w:t>
      </w:r>
      <w:r>
        <w:rPr>
          <w:spacing w:val="-4"/>
        </w:rPr>
        <w:t> </w:t>
      </w:r>
      <w:r>
        <w:rPr/>
        <w:t>meetings</w:t>
      </w:r>
      <w:r>
        <w:rPr>
          <w:spacing w:val="-3"/>
        </w:rPr>
        <w:t> </w:t>
      </w:r>
      <w:r>
        <w:rPr/>
        <w:t>true</w:t>
      </w:r>
      <w:r>
        <w:rPr>
          <w:spacing w:val="-4"/>
        </w:rPr>
        <w:t> </w:t>
      </w:r>
      <w:r>
        <w:rPr/>
        <w:t>faculty</w:t>
      </w:r>
      <w:r>
        <w:rPr>
          <w:spacing w:val="-7"/>
        </w:rPr>
        <w:t> </w:t>
      </w:r>
      <w:r>
        <w:rPr/>
        <w:t>meetings</w:t>
      </w:r>
      <w:r>
        <w:rPr>
          <w:spacing w:val="-3"/>
        </w:rPr>
        <w:t> </w:t>
      </w:r>
      <w:r>
        <w:rPr/>
        <w:t>where</w:t>
      </w:r>
      <w:r>
        <w:rPr>
          <w:spacing w:val="-4"/>
        </w:rPr>
        <w:t> </w:t>
      </w:r>
      <w:r>
        <w:rPr/>
        <w:t>issues</w:t>
      </w:r>
      <w:r>
        <w:rPr>
          <w:spacing w:val="-1"/>
        </w:rPr>
        <w:t> </w:t>
      </w:r>
      <w:r>
        <w:rPr/>
        <w:t>most</w:t>
      </w:r>
      <w:r>
        <w:rPr>
          <w:spacing w:val="-3"/>
        </w:rPr>
        <w:t> </w:t>
      </w:r>
      <w:r>
        <w:rPr/>
        <w:t>relevant</w:t>
      </w:r>
      <w:r>
        <w:rPr>
          <w:spacing w:val="-3"/>
        </w:rPr>
        <w:t> </w:t>
      </w:r>
      <w:r>
        <w:rPr/>
        <w:t>to</w:t>
      </w:r>
      <w:r>
        <w:rPr>
          <w:spacing w:val="-3"/>
        </w:rPr>
        <w:t> </w:t>
      </w:r>
      <w:r>
        <w:rPr/>
        <w:t>faculty</w:t>
      </w:r>
      <w:r>
        <w:rPr>
          <w:spacing w:val="-7"/>
        </w:rPr>
        <w:t> </w:t>
      </w:r>
      <w:r>
        <w:rPr/>
        <w:t>can</w:t>
      </w:r>
      <w:r>
        <w:rPr>
          <w:spacing w:val="-3"/>
        </w:rPr>
        <w:t> </w:t>
      </w:r>
      <w:r>
        <w:rPr/>
        <w:t>be</w:t>
      </w:r>
      <w:r>
        <w:rPr>
          <w:spacing w:val="-4"/>
        </w:rPr>
        <w:t> </w:t>
      </w:r>
      <w:r>
        <w:rPr/>
        <w:t>shared</w:t>
      </w:r>
      <w:r>
        <w:rPr>
          <w:spacing w:val="-3"/>
        </w:rPr>
        <w:t> </w:t>
      </w:r>
      <w:r>
        <w:rPr/>
        <w:t>and </w:t>
      </w:r>
      <w:r>
        <w:rPr>
          <w:spacing w:val="-2"/>
        </w:rPr>
        <w:t>discussed.</w:t>
      </w:r>
    </w:p>
    <w:p>
      <w:pPr>
        <w:pStyle w:val="BodyText"/>
        <w:spacing w:before="4"/>
        <w:ind w:left="0"/>
      </w:pPr>
    </w:p>
    <w:p>
      <w:pPr>
        <w:pStyle w:val="Heading1"/>
        <w:spacing w:line="274" w:lineRule="exact" w:before="1"/>
      </w:pPr>
      <w:r>
        <w:rPr/>
        <w:t>Department</w:t>
      </w:r>
      <w:r>
        <w:rPr>
          <w:spacing w:val="-7"/>
        </w:rPr>
        <w:t> </w:t>
      </w:r>
      <w:r>
        <w:rPr>
          <w:spacing w:val="-4"/>
        </w:rPr>
        <w:t>News</w:t>
      </w:r>
    </w:p>
    <w:p>
      <w:pPr>
        <w:pStyle w:val="BodyText"/>
        <w:spacing w:line="274" w:lineRule="exact"/>
        <w:rPr>
          <w:i/>
        </w:rPr>
      </w:pPr>
      <w:r>
        <w:rPr>
          <w:u w:val="single"/>
        </w:rPr>
        <w:t>Counseling</w:t>
      </w:r>
      <w:r>
        <w:rPr>
          <w:spacing w:val="-7"/>
          <w:u w:val="single"/>
        </w:rPr>
        <w:t> </w:t>
      </w:r>
      <w:r>
        <w:rPr>
          <w:u w:val="single"/>
        </w:rPr>
        <w:t>and</w:t>
      </w:r>
      <w:r>
        <w:rPr>
          <w:spacing w:val="-1"/>
          <w:u w:val="single"/>
        </w:rPr>
        <w:t> </w:t>
      </w:r>
      <w:r>
        <w:rPr>
          <w:u w:val="single"/>
        </w:rPr>
        <w:t>Education</w:t>
      </w:r>
      <w:r>
        <w:rPr>
          <w:spacing w:val="-1"/>
          <w:u w:val="single"/>
        </w:rPr>
        <w:t> </w:t>
      </w:r>
      <w:r>
        <w:rPr>
          <w:u w:val="single"/>
        </w:rPr>
        <w:t>Psychology</w:t>
      </w:r>
      <w:r>
        <w:rPr>
          <w:spacing w:val="-6"/>
          <w:u w:val="single"/>
        </w:rPr>
        <w:t> </w:t>
      </w:r>
      <w:r>
        <w:rPr>
          <w:u w:val="single"/>
        </w:rPr>
        <w:t>(CEP)</w:t>
      </w:r>
      <w:r>
        <w:rPr>
          <w:u w:val="none"/>
        </w:rPr>
        <w:t>-</w:t>
      </w:r>
      <w:r>
        <w:rPr>
          <w:spacing w:val="-2"/>
          <w:u w:val="none"/>
        </w:rPr>
        <w:t> </w:t>
      </w:r>
      <w:r>
        <w:rPr>
          <w:i/>
          <w:u w:val="none"/>
        </w:rPr>
        <w:t>Joel</w:t>
      </w:r>
      <w:r>
        <w:rPr>
          <w:i/>
          <w:spacing w:val="1"/>
          <w:u w:val="none"/>
        </w:rPr>
        <w:t> </w:t>
      </w:r>
      <w:r>
        <w:rPr>
          <w:i/>
          <w:spacing w:val="-4"/>
          <w:u w:val="none"/>
        </w:rPr>
        <w:t>Wong</w:t>
      </w:r>
    </w:p>
    <w:p>
      <w:pPr>
        <w:pStyle w:val="BodyText"/>
        <w:ind w:left="119" w:right="170"/>
      </w:pPr>
      <w:r>
        <w:rPr/>
        <w:t>J. Wong provided information on the work of the CEP department which brings together learning, teaching and human develop to understand how experiences impact the person. Through power point slides, J. Wong reviewed enrollment numbers, highlighted the work of faculty</w:t>
      </w:r>
      <w:r>
        <w:rPr>
          <w:spacing w:val="-7"/>
        </w:rPr>
        <w:t> </w:t>
      </w:r>
      <w:r>
        <w:rPr/>
        <w:t>and</w:t>
      </w:r>
      <w:r>
        <w:rPr>
          <w:spacing w:val="-2"/>
        </w:rPr>
        <w:t> </w:t>
      </w:r>
      <w:r>
        <w:rPr/>
        <w:t>reviewed</w:t>
      </w:r>
      <w:r>
        <w:rPr>
          <w:spacing w:val="-2"/>
        </w:rPr>
        <w:t> </w:t>
      </w:r>
      <w:r>
        <w:rPr/>
        <w:t>some</w:t>
      </w:r>
      <w:r>
        <w:rPr>
          <w:spacing w:val="-3"/>
        </w:rPr>
        <w:t> </w:t>
      </w:r>
      <w:r>
        <w:rPr/>
        <w:t>of</w:t>
      </w:r>
      <w:r>
        <w:rPr>
          <w:spacing w:val="-3"/>
        </w:rPr>
        <w:t> </w:t>
      </w:r>
      <w:r>
        <w:rPr/>
        <w:t>the</w:t>
      </w:r>
      <w:r>
        <w:rPr>
          <w:spacing w:val="-3"/>
        </w:rPr>
        <w:t> </w:t>
      </w:r>
      <w:r>
        <w:rPr/>
        <w:t>challenges</w:t>
      </w:r>
      <w:r>
        <w:rPr>
          <w:spacing w:val="-2"/>
        </w:rPr>
        <w:t> </w:t>
      </w:r>
      <w:r>
        <w:rPr/>
        <w:t>facing</w:t>
      </w:r>
      <w:r>
        <w:rPr>
          <w:spacing w:val="-5"/>
        </w:rPr>
        <w:t> </w:t>
      </w:r>
      <w:r>
        <w:rPr/>
        <w:t>the</w:t>
      </w:r>
      <w:r>
        <w:rPr>
          <w:spacing w:val="-3"/>
        </w:rPr>
        <w:t> </w:t>
      </w:r>
      <w:r>
        <w:rPr/>
        <w:t>department</w:t>
      </w:r>
      <w:r>
        <w:rPr>
          <w:spacing w:val="-2"/>
        </w:rPr>
        <w:t> </w:t>
      </w:r>
      <w:r>
        <w:rPr/>
        <w:t>as well</w:t>
      </w:r>
      <w:r>
        <w:rPr>
          <w:spacing w:val="-2"/>
        </w:rPr>
        <w:t> </w:t>
      </w:r>
      <w:r>
        <w:rPr/>
        <w:t>as</w:t>
      </w:r>
      <w:r>
        <w:rPr>
          <w:spacing w:val="-2"/>
        </w:rPr>
        <w:t> </w:t>
      </w:r>
      <w:r>
        <w:rPr/>
        <w:t>future</w:t>
      </w:r>
      <w:r>
        <w:rPr>
          <w:spacing w:val="-3"/>
        </w:rPr>
        <w:t> </w:t>
      </w:r>
      <w:r>
        <w:rPr/>
        <w:t>directions.</w:t>
      </w:r>
    </w:p>
    <w:p>
      <w:pPr>
        <w:spacing w:before="276"/>
        <w:ind w:left="120" w:right="0" w:firstLine="0"/>
        <w:jc w:val="left"/>
        <w:rPr>
          <w:i/>
          <w:sz w:val="24"/>
        </w:rPr>
      </w:pPr>
      <w:r>
        <w:rPr>
          <w:sz w:val="24"/>
          <w:u w:val="single"/>
        </w:rPr>
        <w:t>Curriculum</w:t>
      </w:r>
      <w:r>
        <w:rPr>
          <w:spacing w:val="-3"/>
          <w:sz w:val="24"/>
          <w:u w:val="single"/>
        </w:rPr>
        <w:t> </w:t>
      </w:r>
      <w:r>
        <w:rPr>
          <w:sz w:val="24"/>
          <w:u w:val="single"/>
        </w:rPr>
        <w:t>and</w:t>
      </w:r>
      <w:r>
        <w:rPr>
          <w:spacing w:val="-2"/>
          <w:sz w:val="24"/>
          <w:u w:val="single"/>
        </w:rPr>
        <w:t> </w:t>
      </w:r>
      <w:r>
        <w:rPr>
          <w:sz w:val="24"/>
          <w:u w:val="single"/>
        </w:rPr>
        <w:t>Instruction</w:t>
      </w:r>
      <w:r>
        <w:rPr>
          <w:spacing w:val="-3"/>
          <w:sz w:val="24"/>
          <w:u w:val="single"/>
        </w:rPr>
        <w:t> </w:t>
      </w:r>
      <w:r>
        <w:rPr>
          <w:sz w:val="24"/>
          <w:u w:val="single"/>
        </w:rPr>
        <w:t>(C&amp;I)</w:t>
      </w:r>
      <w:r>
        <w:rPr>
          <w:sz w:val="24"/>
          <w:u w:val="none"/>
        </w:rPr>
        <w:t>-</w:t>
      </w:r>
      <w:r>
        <w:rPr>
          <w:spacing w:val="-3"/>
          <w:sz w:val="24"/>
          <w:u w:val="none"/>
        </w:rPr>
        <w:t> </w:t>
      </w:r>
      <w:r>
        <w:rPr>
          <w:i/>
          <w:sz w:val="24"/>
          <w:u w:val="none"/>
        </w:rPr>
        <w:t>Jeff</w:t>
      </w:r>
      <w:r>
        <w:rPr>
          <w:i/>
          <w:spacing w:val="-3"/>
          <w:sz w:val="24"/>
          <w:u w:val="none"/>
        </w:rPr>
        <w:t> </w:t>
      </w:r>
      <w:r>
        <w:rPr>
          <w:i/>
          <w:spacing w:val="-2"/>
          <w:sz w:val="24"/>
          <w:u w:val="none"/>
        </w:rPr>
        <w:t>Anderson</w:t>
      </w:r>
    </w:p>
    <w:p>
      <w:pPr>
        <w:pStyle w:val="BodyText"/>
      </w:pPr>
      <w:r>
        <w:rPr/>
        <w:t>J.</w:t>
      </w:r>
      <w:r>
        <w:rPr>
          <w:spacing w:val="-3"/>
        </w:rPr>
        <w:t> </w:t>
      </w:r>
      <w:r>
        <w:rPr/>
        <w:t>Anderson</w:t>
      </w:r>
      <w:r>
        <w:rPr>
          <w:spacing w:val="-3"/>
        </w:rPr>
        <w:t> </w:t>
      </w:r>
      <w:r>
        <w:rPr/>
        <w:t>described</w:t>
      </w:r>
      <w:r>
        <w:rPr>
          <w:spacing w:val="-3"/>
        </w:rPr>
        <w:t> </w:t>
      </w:r>
      <w:r>
        <w:rPr/>
        <w:t>the</w:t>
      </w:r>
      <w:r>
        <w:rPr>
          <w:spacing w:val="-4"/>
        </w:rPr>
        <w:t> </w:t>
      </w:r>
      <w:r>
        <w:rPr/>
        <w:t>department</w:t>
      </w:r>
      <w:r>
        <w:rPr>
          <w:spacing w:val="-3"/>
        </w:rPr>
        <w:t> </w:t>
      </w:r>
      <w:r>
        <w:rPr/>
        <w:t>structure,</w:t>
      </w:r>
      <w:r>
        <w:rPr>
          <w:spacing w:val="-3"/>
        </w:rPr>
        <w:t> </w:t>
      </w:r>
      <w:r>
        <w:rPr/>
        <w:t>including</w:t>
      </w:r>
      <w:r>
        <w:rPr>
          <w:spacing w:val="-6"/>
        </w:rPr>
        <w:t> </w:t>
      </w:r>
      <w:r>
        <w:rPr/>
        <w:t>the</w:t>
      </w:r>
      <w:r>
        <w:rPr>
          <w:spacing w:val="-4"/>
        </w:rPr>
        <w:t> </w:t>
      </w:r>
      <w:r>
        <w:rPr/>
        <w:t>seven</w:t>
      </w:r>
      <w:r>
        <w:rPr>
          <w:spacing w:val="-3"/>
        </w:rPr>
        <w:t> </w:t>
      </w:r>
      <w:r>
        <w:rPr/>
        <w:t>program</w:t>
      </w:r>
      <w:r>
        <w:rPr>
          <w:spacing w:val="-3"/>
        </w:rPr>
        <w:t> </w:t>
      </w:r>
      <w:r>
        <w:rPr/>
        <w:t>areas</w:t>
      </w:r>
      <w:r>
        <w:rPr>
          <w:spacing w:val="-3"/>
        </w:rPr>
        <w:t> </w:t>
      </w:r>
      <w:r>
        <w:rPr/>
        <w:t>that</w:t>
      </w:r>
      <w:r>
        <w:rPr>
          <w:spacing w:val="-3"/>
        </w:rPr>
        <w:t> </w:t>
      </w:r>
      <w:r>
        <w:rPr/>
        <w:t>make</w:t>
      </w:r>
      <w:r>
        <w:rPr>
          <w:spacing w:val="-4"/>
        </w:rPr>
        <w:t> </w:t>
      </w:r>
      <w:r>
        <w:rPr/>
        <w:t>up C&amp;I. He then reviewed slides outlining some of the department’s current outreach work and signature programs, as well as some of the new ventures planned. K. Barton announced a name change for the curriculum studies program, which should aid in student recruitment. The development of several new online programs as well as a reimagining of the PhD program are </w:t>
      </w:r>
      <w:r>
        <w:rPr>
          <w:spacing w:val="-2"/>
        </w:rPr>
        <w:t>underway.</w:t>
      </w:r>
    </w:p>
    <w:p>
      <w:pPr>
        <w:pStyle w:val="BodyText"/>
        <w:ind w:left="0"/>
      </w:pPr>
    </w:p>
    <w:p>
      <w:pPr>
        <w:pStyle w:val="BodyText"/>
        <w:rPr>
          <w:i/>
        </w:rPr>
      </w:pPr>
      <w:r>
        <w:rPr>
          <w:u w:val="single"/>
        </w:rPr>
        <w:t>Education</w:t>
      </w:r>
      <w:r>
        <w:rPr>
          <w:spacing w:val="-2"/>
          <w:u w:val="single"/>
        </w:rPr>
        <w:t> </w:t>
      </w:r>
      <w:r>
        <w:rPr>
          <w:u w:val="single"/>
        </w:rPr>
        <w:t>Leadership</w:t>
      </w:r>
      <w:r>
        <w:rPr>
          <w:spacing w:val="-2"/>
          <w:u w:val="single"/>
        </w:rPr>
        <w:t> </w:t>
      </w:r>
      <w:r>
        <w:rPr>
          <w:u w:val="single"/>
        </w:rPr>
        <w:t>and</w:t>
      </w:r>
      <w:r>
        <w:rPr>
          <w:spacing w:val="-2"/>
          <w:u w:val="single"/>
        </w:rPr>
        <w:t> </w:t>
      </w:r>
      <w:r>
        <w:rPr>
          <w:u w:val="single"/>
        </w:rPr>
        <w:t>Policy</w:t>
      </w:r>
      <w:r>
        <w:rPr>
          <w:spacing w:val="-7"/>
          <w:u w:val="single"/>
        </w:rPr>
        <w:t> </w:t>
      </w:r>
      <w:r>
        <w:rPr>
          <w:u w:val="single"/>
        </w:rPr>
        <w:t>Studies</w:t>
      </w:r>
      <w:r>
        <w:rPr>
          <w:spacing w:val="-3"/>
          <w:u w:val="single"/>
        </w:rPr>
        <w:t> </w:t>
      </w:r>
      <w:r>
        <w:rPr>
          <w:u w:val="single"/>
        </w:rPr>
        <w:t>(ELPS)</w:t>
      </w:r>
      <w:r>
        <w:rPr>
          <w:u w:val="none"/>
        </w:rPr>
        <w:t>-</w:t>
      </w:r>
      <w:r>
        <w:rPr>
          <w:spacing w:val="-1"/>
          <w:u w:val="none"/>
        </w:rPr>
        <w:t> </w:t>
      </w:r>
      <w:r>
        <w:rPr>
          <w:i/>
          <w:u w:val="none"/>
        </w:rPr>
        <w:t>Vic</w:t>
      </w:r>
      <w:r>
        <w:rPr>
          <w:i/>
          <w:spacing w:val="-2"/>
          <w:u w:val="none"/>
        </w:rPr>
        <w:t> Borden</w:t>
      </w:r>
    </w:p>
    <w:p>
      <w:pPr>
        <w:pStyle w:val="BodyText"/>
        <w:ind w:right="170"/>
      </w:pPr>
      <w:r>
        <w:rPr/>
        <w:t>V.</w:t>
      </w:r>
      <w:r>
        <w:rPr>
          <w:spacing w:val="-4"/>
        </w:rPr>
        <w:t> </w:t>
      </w:r>
      <w:r>
        <w:rPr/>
        <w:t>Borden</w:t>
      </w:r>
      <w:r>
        <w:rPr>
          <w:spacing w:val="-4"/>
        </w:rPr>
        <w:t> </w:t>
      </w:r>
      <w:r>
        <w:rPr/>
        <w:t>reviewed</w:t>
      </w:r>
      <w:r>
        <w:rPr>
          <w:spacing w:val="-4"/>
        </w:rPr>
        <w:t> </w:t>
      </w:r>
      <w:r>
        <w:rPr/>
        <w:t>department</w:t>
      </w:r>
      <w:r>
        <w:rPr>
          <w:spacing w:val="-4"/>
        </w:rPr>
        <w:t> </w:t>
      </w:r>
      <w:r>
        <w:rPr/>
        <w:t>news</w:t>
      </w:r>
      <w:r>
        <w:rPr>
          <w:spacing w:val="-4"/>
        </w:rPr>
        <w:t> </w:t>
      </w:r>
      <w:r>
        <w:rPr/>
        <w:t>on</w:t>
      </w:r>
      <w:r>
        <w:rPr>
          <w:spacing w:val="-4"/>
        </w:rPr>
        <w:t> </w:t>
      </w:r>
      <w:r>
        <w:rPr/>
        <w:t>behalf</w:t>
      </w:r>
      <w:r>
        <w:rPr>
          <w:spacing w:val="-5"/>
        </w:rPr>
        <w:t> </w:t>
      </w:r>
      <w:r>
        <w:rPr/>
        <w:t>of</w:t>
      </w:r>
      <w:r>
        <w:rPr>
          <w:spacing w:val="-3"/>
        </w:rPr>
        <w:t> </w:t>
      </w:r>
      <w:r>
        <w:rPr/>
        <w:t>D.</w:t>
      </w:r>
      <w:r>
        <w:rPr>
          <w:spacing w:val="-4"/>
        </w:rPr>
        <w:t> </w:t>
      </w:r>
      <w:r>
        <w:rPr/>
        <w:t>Danns,</w:t>
      </w:r>
      <w:r>
        <w:rPr>
          <w:spacing w:val="-4"/>
        </w:rPr>
        <w:t> </w:t>
      </w:r>
      <w:r>
        <w:rPr/>
        <w:t>department</w:t>
      </w:r>
      <w:r>
        <w:rPr>
          <w:spacing w:val="-4"/>
        </w:rPr>
        <w:t> </w:t>
      </w:r>
      <w:r>
        <w:rPr/>
        <w:t>chair.</w:t>
      </w:r>
      <w:r>
        <w:rPr>
          <w:spacing w:val="-4"/>
        </w:rPr>
        <w:t> </w:t>
      </w:r>
      <w:r>
        <w:rPr/>
        <w:t>Slides</w:t>
      </w:r>
      <w:r>
        <w:rPr>
          <w:spacing w:val="-4"/>
        </w:rPr>
        <w:t> </w:t>
      </w:r>
      <w:r>
        <w:rPr/>
        <w:t>presented outlined the structure of the department, listing the various program areas and their respective coordinators. Current degrees and certificates offered were also described. V. Borden shared recent accolades earned by faculty and other department news.</w:t>
      </w:r>
    </w:p>
    <w:p>
      <w:pPr>
        <w:spacing w:before="274"/>
        <w:ind w:left="120" w:right="0" w:firstLine="0"/>
        <w:jc w:val="left"/>
        <w:rPr>
          <w:i/>
          <w:sz w:val="24"/>
        </w:rPr>
      </w:pPr>
      <w:r>
        <w:rPr>
          <w:sz w:val="24"/>
          <w:u w:val="single"/>
        </w:rPr>
        <w:t>Instructional</w:t>
      </w:r>
      <w:r>
        <w:rPr>
          <w:spacing w:val="-3"/>
          <w:sz w:val="24"/>
          <w:u w:val="single"/>
        </w:rPr>
        <w:t> </w:t>
      </w:r>
      <w:r>
        <w:rPr>
          <w:sz w:val="24"/>
          <w:u w:val="single"/>
        </w:rPr>
        <w:t>Systems</w:t>
      </w:r>
      <w:r>
        <w:rPr>
          <w:spacing w:val="-2"/>
          <w:sz w:val="24"/>
          <w:u w:val="single"/>
        </w:rPr>
        <w:t> </w:t>
      </w:r>
      <w:r>
        <w:rPr>
          <w:sz w:val="24"/>
          <w:u w:val="single"/>
        </w:rPr>
        <w:t>Technology</w:t>
      </w:r>
      <w:r>
        <w:rPr>
          <w:spacing w:val="-6"/>
          <w:sz w:val="24"/>
          <w:u w:val="single"/>
        </w:rPr>
        <w:t> </w:t>
      </w:r>
      <w:r>
        <w:rPr>
          <w:sz w:val="24"/>
          <w:u w:val="single"/>
        </w:rPr>
        <w:t>(IST)</w:t>
      </w:r>
      <w:r>
        <w:rPr>
          <w:sz w:val="24"/>
          <w:u w:val="none"/>
        </w:rPr>
        <w:t>-</w:t>
      </w:r>
      <w:r>
        <w:rPr>
          <w:spacing w:val="-3"/>
          <w:sz w:val="24"/>
          <w:u w:val="none"/>
        </w:rPr>
        <w:t> </w:t>
      </w:r>
      <w:r>
        <w:rPr>
          <w:i/>
          <w:sz w:val="24"/>
          <w:u w:val="none"/>
        </w:rPr>
        <w:t>Krista</w:t>
      </w:r>
      <w:r>
        <w:rPr>
          <w:i/>
          <w:spacing w:val="-2"/>
          <w:sz w:val="24"/>
          <w:u w:val="none"/>
        </w:rPr>
        <w:t> Glazewski</w:t>
      </w:r>
    </w:p>
    <w:p>
      <w:pPr>
        <w:pStyle w:val="BodyText"/>
        <w:ind w:left="119" w:right="235"/>
      </w:pPr>
      <w:r>
        <w:rPr/>
        <w:t>K. Glazewski explained what IST does and reviewed the programs and degrees the department offers.</w:t>
      </w:r>
      <w:r>
        <w:rPr>
          <w:spacing w:val="-2"/>
        </w:rPr>
        <w:t> </w:t>
      </w:r>
      <w:r>
        <w:rPr/>
        <w:t>She</w:t>
      </w:r>
      <w:r>
        <w:rPr>
          <w:spacing w:val="-1"/>
        </w:rPr>
        <w:t> </w:t>
      </w:r>
      <w:r>
        <w:rPr/>
        <w:t>reviewed</w:t>
      </w:r>
      <w:r>
        <w:rPr>
          <w:spacing w:val="-2"/>
        </w:rPr>
        <w:t> </w:t>
      </w:r>
      <w:r>
        <w:rPr/>
        <w:t>some</w:t>
      </w:r>
      <w:r>
        <w:rPr>
          <w:spacing w:val="-3"/>
        </w:rPr>
        <w:t> </w:t>
      </w:r>
      <w:r>
        <w:rPr/>
        <w:t>of</w:t>
      </w:r>
      <w:r>
        <w:rPr>
          <w:spacing w:val="-3"/>
        </w:rPr>
        <w:t> </w:t>
      </w:r>
      <w:r>
        <w:rPr/>
        <w:t>the</w:t>
      </w:r>
      <w:r>
        <w:rPr>
          <w:spacing w:val="-3"/>
        </w:rPr>
        <w:t> </w:t>
      </w:r>
      <w:r>
        <w:rPr/>
        <w:t>books</w:t>
      </w:r>
      <w:r>
        <w:rPr>
          <w:spacing w:val="-2"/>
        </w:rPr>
        <w:t> </w:t>
      </w:r>
      <w:r>
        <w:rPr/>
        <w:t>recently</w:t>
      </w:r>
      <w:r>
        <w:rPr>
          <w:spacing w:val="-7"/>
        </w:rPr>
        <w:t> </w:t>
      </w:r>
      <w:r>
        <w:rPr/>
        <w:t>published</w:t>
      </w:r>
      <w:r>
        <w:rPr>
          <w:spacing w:val="-2"/>
        </w:rPr>
        <w:t> </w:t>
      </w:r>
      <w:r>
        <w:rPr/>
        <w:t>by</w:t>
      </w:r>
      <w:r>
        <w:rPr>
          <w:spacing w:val="-5"/>
        </w:rPr>
        <w:t> </w:t>
      </w:r>
      <w:r>
        <w:rPr/>
        <w:t>IST</w:t>
      </w:r>
      <w:r>
        <w:rPr>
          <w:spacing w:val="-3"/>
        </w:rPr>
        <w:t> </w:t>
      </w:r>
      <w:r>
        <w:rPr/>
        <w:t>faculty</w:t>
      </w:r>
      <w:r>
        <w:rPr>
          <w:spacing w:val="-7"/>
        </w:rPr>
        <w:t> </w:t>
      </w:r>
      <w:r>
        <w:rPr/>
        <w:t>and</w:t>
      </w:r>
      <w:r>
        <w:rPr>
          <w:spacing w:val="-2"/>
        </w:rPr>
        <w:t> </w:t>
      </w:r>
      <w:r>
        <w:rPr/>
        <w:t>went</w:t>
      </w:r>
      <w:r>
        <w:rPr>
          <w:spacing w:val="-2"/>
        </w:rPr>
        <w:t> </w:t>
      </w:r>
      <w:r>
        <w:rPr/>
        <w:t>over</w:t>
      </w:r>
      <w:r>
        <w:rPr>
          <w:spacing w:val="-1"/>
        </w:rPr>
        <w:t> </w:t>
      </w:r>
      <w:r>
        <w:rPr/>
        <w:t>current enrollment numbers. The Ed.D. Program is particularly prominent within the department and draws students from a variety of fields. The department is currently retooling the residential Masters program to be more studio based. K. Glazewski also reviewed some of the grants and state-level initiatives with which the department is involved. Recent awards earned by department faculty and students were shared.</w:t>
      </w:r>
    </w:p>
    <w:p>
      <w:pPr>
        <w:pStyle w:val="BodyText"/>
        <w:ind w:left="0"/>
      </w:pPr>
    </w:p>
    <w:p>
      <w:pPr>
        <w:spacing w:before="0"/>
        <w:ind w:left="120" w:right="0" w:firstLine="0"/>
        <w:jc w:val="left"/>
        <w:rPr>
          <w:i/>
          <w:sz w:val="24"/>
        </w:rPr>
      </w:pPr>
      <w:r>
        <w:rPr>
          <w:sz w:val="24"/>
          <w:u w:val="single"/>
        </w:rPr>
        <w:t>Literacy,</w:t>
      </w:r>
      <w:r>
        <w:rPr>
          <w:spacing w:val="-3"/>
          <w:sz w:val="24"/>
          <w:u w:val="single"/>
        </w:rPr>
        <w:t> </w:t>
      </w:r>
      <w:r>
        <w:rPr>
          <w:sz w:val="24"/>
          <w:u w:val="single"/>
        </w:rPr>
        <w:t>Language</w:t>
      </w:r>
      <w:r>
        <w:rPr>
          <w:spacing w:val="-1"/>
          <w:sz w:val="24"/>
          <w:u w:val="single"/>
        </w:rPr>
        <w:t> </w:t>
      </w:r>
      <w:r>
        <w:rPr>
          <w:sz w:val="24"/>
          <w:u w:val="single"/>
        </w:rPr>
        <w:t>and Culture</w:t>
      </w:r>
      <w:r>
        <w:rPr>
          <w:spacing w:val="-4"/>
          <w:sz w:val="24"/>
          <w:u w:val="single"/>
        </w:rPr>
        <w:t> </w:t>
      </w:r>
      <w:r>
        <w:rPr>
          <w:sz w:val="24"/>
          <w:u w:val="single"/>
        </w:rPr>
        <w:t>Education</w:t>
      </w:r>
      <w:r>
        <w:rPr>
          <w:spacing w:val="-2"/>
          <w:sz w:val="24"/>
          <w:u w:val="single"/>
        </w:rPr>
        <w:t> </w:t>
      </w:r>
      <w:r>
        <w:rPr>
          <w:sz w:val="24"/>
          <w:u w:val="single"/>
        </w:rPr>
        <w:t>(LCLE)</w:t>
      </w:r>
      <w:r>
        <w:rPr>
          <w:sz w:val="24"/>
          <w:u w:val="none"/>
        </w:rPr>
        <w:t>-</w:t>
      </w:r>
      <w:r>
        <w:rPr>
          <w:spacing w:val="-3"/>
          <w:sz w:val="24"/>
          <w:u w:val="none"/>
        </w:rPr>
        <w:t> </w:t>
      </w:r>
      <w:r>
        <w:rPr>
          <w:i/>
          <w:sz w:val="24"/>
          <w:u w:val="none"/>
        </w:rPr>
        <w:t>Mary</w:t>
      </w:r>
      <w:r>
        <w:rPr>
          <w:i/>
          <w:spacing w:val="-3"/>
          <w:sz w:val="24"/>
          <w:u w:val="none"/>
        </w:rPr>
        <w:t> </w:t>
      </w:r>
      <w:r>
        <w:rPr>
          <w:i/>
          <w:sz w:val="24"/>
          <w:u w:val="none"/>
        </w:rPr>
        <w:t>Beth</w:t>
      </w:r>
      <w:r>
        <w:rPr>
          <w:i/>
          <w:spacing w:val="-2"/>
          <w:sz w:val="24"/>
          <w:u w:val="none"/>
        </w:rPr>
        <w:t> Hines</w:t>
      </w:r>
    </w:p>
    <w:p>
      <w:pPr>
        <w:spacing w:after="0"/>
        <w:jc w:val="left"/>
        <w:rPr>
          <w:sz w:val="24"/>
        </w:rPr>
        <w:sectPr>
          <w:type w:val="continuous"/>
          <w:pgSz w:w="12240" w:h="15840"/>
          <w:pgMar w:top="1160" w:bottom="280" w:left="1320" w:right="1340"/>
        </w:sectPr>
      </w:pPr>
    </w:p>
    <w:p>
      <w:pPr>
        <w:pStyle w:val="BodyText"/>
        <w:spacing w:before="74"/>
        <w:ind w:right="170"/>
      </w:pPr>
      <w:r>
        <w:rPr/>
        <w:t>M.B. Hines reviewed slides outlining the work of the department faculty. LCLE highly values faculty and student work in the community and in schools. The awards and distinctions earned by department faculty were highlighted, as were the graduate and undergraduate programs the department</w:t>
      </w:r>
      <w:r>
        <w:rPr>
          <w:spacing w:val="-4"/>
        </w:rPr>
        <w:t> </w:t>
      </w:r>
      <w:r>
        <w:rPr/>
        <w:t>offers.</w:t>
      </w:r>
      <w:r>
        <w:rPr>
          <w:spacing w:val="-2"/>
        </w:rPr>
        <w:t> </w:t>
      </w:r>
      <w:r>
        <w:rPr/>
        <w:t>Faculty</w:t>
      </w:r>
      <w:r>
        <w:rPr>
          <w:spacing w:val="-7"/>
        </w:rPr>
        <w:t> </w:t>
      </w:r>
      <w:r>
        <w:rPr/>
        <w:t>research</w:t>
      </w:r>
      <w:r>
        <w:rPr>
          <w:spacing w:val="-4"/>
        </w:rPr>
        <w:t> </w:t>
      </w:r>
      <w:r>
        <w:rPr/>
        <w:t>projects</w:t>
      </w:r>
      <w:r>
        <w:rPr>
          <w:spacing w:val="-4"/>
        </w:rPr>
        <w:t> </w:t>
      </w:r>
      <w:r>
        <w:rPr/>
        <w:t>and</w:t>
      </w:r>
      <w:r>
        <w:rPr>
          <w:spacing w:val="-4"/>
        </w:rPr>
        <w:t> </w:t>
      </w:r>
      <w:r>
        <w:rPr/>
        <w:t>service</w:t>
      </w:r>
      <w:r>
        <w:rPr>
          <w:spacing w:val="-5"/>
        </w:rPr>
        <w:t> </w:t>
      </w:r>
      <w:r>
        <w:rPr/>
        <w:t>to</w:t>
      </w:r>
      <w:r>
        <w:rPr>
          <w:spacing w:val="-4"/>
        </w:rPr>
        <w:t> </w:t>
      </w:r>
      <w:r>
        <w:rPr/>
        <w:t>editorial</w:t>
      </w:r>
      <w:r>
        <w:rPr>
          <w:spacing w:val="-4"/>
        </w:rPr>
        <w:t> </w:t>
      </w:r>
      <w:r>
        <w:rPr/>
        <w:t>boards</w:t>
      </w:r>
      <w:r>
        <w:rPr>
          <w:spacing w:val="-2"/>
        </w:rPr>
        <w:t> </w:t>
      </w:r>
      <w:r>
        <w:rPr/>
        <w:t>were</w:t>
      </w:r>
      <w:r>
        <w:rPr>
          <w:spacing w:val="-3"/>
        </w:rPr>
        <w:t> </w:t>
      </w:r>
      <w:r>
        <w:rPr/>
        <w:t>also</w:t>
      </w:r>
      <w:r>
        <w:rPr>
          <w:spacing w:val="-4"/>
        </w:rPr>
        <w:t> </w:t>
      </w:r>
      <w:r>
        <w:rPr/>
        <w:t>presented. The department recently hosted an international conference, which was very successful. Additional faculty projects were shared as was information on the new online EdD program.</w:t>
      </w:r>
    </w:p>
    <w:p>
      <w:pPr>
        <w:pStyle w:val="BodyText"/>
        <w:ind w:left="0"/>
      </w:pPr>
    </w:p>
    <w:p>
      <w:pPr>
        <w:spacing w:before="0"/>
        <w:ind w:left="119" w:right="0" w:firstLine="0"/>
        <w:jc w:val="left"/>
        <w:rPr>
          <w:i/>
          <w:sz w:val="24"/>
        </w:rPr>
      </w:pPr>
      <w:r>
        <w:rPr>
          <w:b/>
          <w:sz w:val="24"/>
        </w:rPr>
        <w:t>Structure</w:t>
      </w:r>
      <w:r>
        <w:rPr>
          <w:b/>
          <w:spacing w:val="-4"/>
          <w:sz w:val="24"/>
        </w:rPr>
        <w:t> </w:t>
      </w:r>
      <w:r>
        <w:rPr>
          <w:b/>
          <w:sz w:val="24"/>
        </w:rPr>
        <w:t>of</w:t>
      </w:r>
      <w:r>
        <w:rPr>
          <w:b/>
          <w:spacing w:val="-3"/>
          <w:sz w:val="24"/>
        </w:rPr>
        <w:t> </w:t>
      </w:r>
      <w:r>
        <w:rPr>
          <w:b/>
          <w:sz w:val="24"/>
        </w:rPr>
        <w:t>School</w:t>
      </w:r>
      <w:r>
        <w:rPr>
          <w:b/>
          <w:spacing w:val="-3"/>
          <w:sz w:val="24"/>
        </w:rPr>
        <w:t> </w:t>
      </w:r>
      <w:r>
        <w:rPr>
          <w:b/>
          <w:sz w:val="24"/>
        </w:rPr>
        <w:t>of</w:t>
      </w:r>
      <w:r>
        <w:rPr>
          <w:b/>
          <w:spacing w:val="-4"/>
          <w:sz w:val="24"/>
        </w:rPr>
        <w:t> </w:t>
      </w:r>
      <w:r>
        <w:rPr>
          <w:b/>
          <w:sz w:val="24"/>
        </w:rPr>
        <w:t>Education</w:t>
      </w:r>
      <w:r>
        <w:rPr>
          <w:b/>
          <w:spacing w:val="-3"/>
          <w:sz w:val="24"/>
        </w:rPr>
        <w:t> </w:t>
      </w:r>
      <w:r>
        <w:rPr>
          <w:b/>
          <w:sz w:val="24"/>
        </w:rPr>
        <w:t>Governance</w:t>
      </w:r>
      <w:r>
        <w:rPr>
          <w:b/>
          <w:spacing w:val="-3"/>
          <w:sz w:val="24"/>
        </w:rPr>
        <w:t> </w:t>
      </w:r>
      <w:r>
        <w:rPr>
          <w:b/>
          <w:sz w:val="24"/>
        </w:rPr>
        <w:t>and</w:t>
      </w:r>
      <w:r>
        <w:rPr>
          <w:b/>
          <w:spacing w:val="-3"/>
          <w:sz w:val="24"/>
        </w:rPr>
        <w:t> </w:t>
      </w:r>
      <w:r>
        <w:rPr>
          <w:b/>
          <w:sz w:val="24"/>
        </w:rPr>
        <w:t>other</w:t>
      </w:r>
      <w:r>
        <w:rPr>
          <w:b/>
          <w:spacing w:val="-4"/>
          <w:sz w:val="24"/>
        </w:rPr>
        <w:t> </w:t>
      </w:r>
      <w:r>
        <w:rPr>
          <w:b/>
          <w:sz w:val="24"/>
        </w:rPr>
        <w:t>items</w:t>
      </w:r>
      <w:r>
        <w:rPr>
          <w:sz w:val="24"/>
        </w:rPr>
        <w:t>-</w:t>
      </w:r>
      <w:r>
        <w:rPr>
          <w:spacing w:val="80"/>
          <w:sz w:val="24"/>
        </w:rPr>
        <w:t> </w:t>
      </w:r>
      <w:r>
        <w:rPr>
          <w:i/>
          <w:sz w:val="24"/>
        </w:rPr>
        <w:t>Ginette</w:t>
      </w:r>
      <w:r>
        <w:rPr>
          <w:i/>
          <w:spacing w:val="-4"/>
          <w:sz w:val="24"/>
        </w:rPr>
        <w:t> </w:t>
      </w:r>
      <w:r>
        <w:rPr>
          <w:i/>
          <w:sz w:val="24"/>
        </w:rPr>
        <w:t>Delandshere,</w:t>
      </w:r>
      <w:r>
        <w:rPr>
          <w:i/>
          <w:sz w:val="24"/>
        </w:rPr>
        <w:t> Executive Associate Dean</w:t>
      </w:r>
    </w:p>
    <w:p>
      <w:pPr>
        <w:pStyle w:val="BodyText"/>
        <w:ind w:left="119" w:right="123"/>
      </w:pPr>
      <w:r>
        <w:rPr>
          <w:color w:val="212A35"/>
        </w:rPr>
        <w:t>G. Delandshere discussed the meaning of shared governance and faculty governance, noting that there tends to be a range of interpretations as to the meanings of these terms. The goal of shared governance is maximum participation, acknowledging that faculty do not have ultimate</w:t>
      </w:r>
      <w:r>
        <w:rPr>
          <w:color w:val="212A35"/>
          <w:spacing w:val="40"/>
        </w:rPr>
        <w:t> </w:t>
      </w:r>
      <w:r>
        <w:rPr>
          <w:color w:val="212A35"/>
        </w:rPr>
        <w:t>authority. Shared governance is a delicate balance between faculty participation and administrative decision-making.</w:t>
      </w:r>
      <w:r>
        <w:rPr>
          <w:color w:val="212A35"/>
          <w:spacing w:val="80"/>
        </w:rPr>
        <w:t> </w:t>
      </w:r>
      <w:r>
        <w:rPr>
          <w:color w:val="212A35"/>
        </w:rPr>
        <w:t>She then reviewed the purpose and structure of the SOE</w:t>
      </w:r>
      <w:r>
        <w:rPr>
          <w:color w:val="212A35"/>
          <w:spacing w:val="40"/>
        </w:rPr>
        <w:t> </w:t>
      </w:r>
      <w:r>
        <w:rPr>
          <w:color w:val="212A35"/>
        </w:rPr>
        <w:t>Faculty</w:t>
      </w:r>
      <w:r>
        <w:rPr>
          <w:color w:val="212A35"/>
          <w:spacing w:val="-3"/>
        </w:rPr>
        <w:t> </w:t>
      </w:r>
      <w:r>
        <w:rPr>
          <w:color w:val="212A35"/>
        </w:rPr>
        <w:t>Policy</w:t>
      </w:r>
      <w:r>
        <w:rPr>
          <w:color w:val="212A35"/>
          <w:spacing w:val="-3"/>
        </w:rPr>
        <w:t> </w:t>
      </w:r>
      <w:r>
        <w:rPr>
          <w:color w:val="212A35"/>
        </w:rPr>
        <w:t>Council and its various committees. She emphasized that any</w:t>
      </w:r>
      <w:r>
        <w:rPr>
          <w:color w:val="212A35"/>
          <w:spacing w:val="-3"/>
        </w:rPr>
        <w:t> </w:t>
      </w:r>
      <w:r>
        <w:rPr>
          <w:color w:val="212A35"/>
        </w:rPr>
        <w:t>faculty</w:t>
      </w:r>
      <w:r>
        <w:rPr>
          <w:color w:val="212A35"/>
          <w:spacing w:val="-4"/>
        </w:rPr>
        <w:t> </w:t>
      </w:r>
      <w:r>
        <w:rPr>
          <w:color w:val="212A35"/>
        </w:rPr>
        <w:t>member can submit a policy proposal directly to the chair of Policy Council. Proposals must be related to the policies under the purview of the Policy Council. G. Delandshere explained that the Agenda Committee</w:t>
      </w:r>
      <w:r>
        <w:rPr>
          <w:color w:val="212A35"/>
          <w:spacing w:val="-4"/>
        </w:rPr>
        <w:t> </w:t>
      </w:r>
      <w:r>
        <w:rPr>
          <w:color w:val="212A35"/>
        </w:rPr>
        <w:t>reviews</w:t>
      </w:r>
      <w:r>
        <w:rPr>
          <w:color w:val="212A35"/>
          <w:spacing w:val="-3"/>
        </w:rPr>
        <w:t> </w:t>
      </w:r>
      <w:r>
        <w:rPr>
          <w:color w:val="212A35"/>
        </w:rPr>
        <w:t>proposals</w:t>
      </w:r>
      <w:r>
        <w:rPr>
          <w:color w:val="212A35"/>
          <w:spacing w:val="-3"/>
        </w:rPr>
        <w:t> </w:t>
      </w:r>
      <w:r>
        <w:rPr>
          <w:color w:val="212A35"/>
        </w:rPr>
        <w:t>to</w:t>
      </w:r>
      <w:r>
        <w:rPr>
          <w:color w:val="212A35"/>
          <w:spacing w:val="-3"/>
        </w:rPr>
        <w:t> </w:t>
      </w:r>
      <w:r>
        <w:rPr>
          <w:color w:val="212A35"/>
        </w:rPr>
        <w:t>determine</w:t>
      </w:r>
      <w:r>
        <w:rPr>
          <w:color w:val="212A35"/>
          <w:spacing w:val="-4"/>
        </w:rPr>
        <w:t> </w:t>
      </w:r>
      <w:r>
        <w:rPr>
          <w:color w:val="212A35"/>
        </w:rPr>
        <w:t>if</w:t>
      </w:r>
      <w:r>
        <w:rPr>
          <w:color w:val="212A35"/>
          <w:spacing w:val="-4"/>
        </w:rPr>
        <w:t> </w:t>
      </w:r>
      <w:r>
        <w:rPr>
          <w:color w:val="212A35"/>
        </w:rPr>
        <w:t>they</w:t>
      </w:r>
      <w:r>
        <w:rPr>
          <w:color w:val="212A35"/>
          <w:spacing w:val="-6"/>
        </w:rPr>
        <w:t> </w:t>
      </w:r>
      <w:r>
        <w:rPr>
          <w:color w:val="212A35"/>
        </w:rPr>
        <w:t>have</w:t>
      </w:r>
      <w:r>
        <w:rPr>
          <w:color w:val="212A35"/>
          <w:spacing w:val="-4"/>
        </w:rPr>
        <w:t> </w:t>
      </w:r>
      <w:r>
        <w:rPr>
          <w:color w:val="212A35"/>
        </w:rPr>
        <w:t>the</w:t>
      </w:r>
      <w:r>
        <w:rPr>
          <w:color w:val="212A35"/>
          <w:spacing w:val="-4"/>
        </w:rPr>
        <w:t> </w:t>
      </w:r>
      <w:r>
        <w:rPr>
          <w:color w:val="212A35"/>
        </w:rPr>
        <w:t>required</w:t>
      </w:r>
      <w:r>
        <w:rPr>
          <w:color w:val="212A35"/>
          <w:spacing w:val="-3"/>
        </w:rPr>
        <w:t> </w:t>
      </w:r>
      <w:r>
        <w:rPr>
          <w:color w:val="212A35"/>
        </w:rPr>
        <w:t>documentation</w:t>
      </w:r>
      <w:r>
        <w:rPr>
          <w:color w:val="212A35"/>
          <w:spacing w:val="-3"/>
        </w:rPr>
        <w:t> </w:t>
      </w:r>
      <w:r>
        <w:rPr>
          <w:color w:val="212A35"/>
        </w:rPr>
        <w:t>to</w:t>
      </w:r>
      <w:r>
        <w:rPr>
          <w:color w:val="212A35"/>
          <w:spacing w:val="-3"/>
        </w:rPr>
        <w:t> </w:t>
      </w:r>
      <w:r>
        <w:rPr>
          <w:color w:val="212A35"/>
        </w:rPr>
        <w:t>be</w:t>
      </w:r>
      <w:r>
        <w:rPr>
          <w:color w:val="212A35"/>
          <w:spacing w:val="-4"/>
        </w:rPr>
        <w:t> </w:t>
      </w:r>
      <w:r>
        <w:rPr>
          <w:color w:val="212A35"/>
        </w:rPr>
        <w:t>brought to the full Policy Council for discussion and vote. Committees are comprised of members who volunteer, rather than being elected. The current committee structure may not be the best for meeting our current needs. This is something that will likely</w:t>
      </w:r>
      <w:r>
        <w:rPr>
          <w:color w:val="212A35"/>
          <w:spacing w:val="-1"/>
        </w:rPr>
        <w:t> </w:t>
      </w:r>
      <w:r>
        <w:rPr>
          <w:color w:val="212A35"/>
        </w:rPr>
        <w:t>be reviewed by Policy Council this year. She then reviewed where on the School of Education web site faculty can find policies and Policy Council documents—under the “Faculty” tab. Committee membership lists and annual reports are also here. The strategic plan is on the web site under the tab “About the School”.</w:t>
      </w:r>
    </w:p>
    <w:p>
      <w:pPr>
        <w:pStyle w:val="BodyText"/>
        <w:spacing w:before="1"/>
        <w:ind w:left="119" w:right="170" w:firstLine="720"/>
      </w:pPr>
      <w:r>
        <w:rPr>
          <w:color w:val="212A35"/>
        </w:rPr>
        <w:t>G. Delandshere then went over fall enrollment numbers. The number of GAs and AIs supported by the school per department were presented. She went on to review the enrollment numbers by program and emphasized the need to talk about crossing departmental boundaries when thinking about our programs moving forward. These conversations should begin at the department level and then lead to school-wide conversations. A final slide highlighted some of the</w:t>
      </w:r>
      <w:r>
        <w:rPr>
          <w:color w:val="212A35"/>
          <w:spacing w:val="-3"/>
        </w:rPr>
        <w:t> </w:t>
      </w:r>
      <w:r>
        <w:rPr>
          <w:color w:val="212A35"/>
        </w:rPr>
        <w:t>important</w:t>
      </w:r>
      <w:r>
        <w:rPr>
          <w:color w:val="212A35"/>
          <w:spacing w:val="-2"/>
        </w:rPr>
        <w:t> </w:t>
      </w:r>
      <w:r>
        <w:rPr>
          <w:color w:val="212A35"/>
        </w:rPr>
        <w:t>topics</w:t>
      </w:r>
      <w:r>
        <w:rPr>
          <w:color w:val="212A35"/>
          <w:spacing w:val="-2"/>
        </w:rPr>
        <w:t> </w:t>
      </w:r>
      <w:r>
        <w:rPr>
          <w:color w:val="212A35"/>
        </w:rPr>
        <w:t>of</w:t>
      </w:r>
      <w:r>
        <w:rPr>
          <w:color w:val="212A35"/>
          <w:spacing w:val="-3"/>
        </w:rPr>
        <w:t> </w:t>
      </w:r>
      <w:r>
        <w:rPr>
          <w:color w:val="212A35"/>
        </w:rPr>
        <w:t>conversations</w:t>
      </w:r>
      <w:r>
        <w:rPr>
          <w:color w:val="212A35"/>
          <w:spacing w:val="-2"/>
        </w:rPr>
        <w:t> </w:t>
      </w:r>
      <w:r>
        <w:rPr>
          <w:color w:val="212A35"/>
        </w:rPr>
        <w:t>that</w:t>
      </w:r>
      <w:r>
        <w:rPr>
          <w:color w:val="212A35"/>
          <w:spacing w:val="-2"/>
        </w:rPr>
        <w:t> </w:t>
      </w:r>
      <w:r>
        <w:rPr>
          <w:color w:val="212A35"/>
        </w:rPr>
        <w:t>need</w:t>
      </w:r>
      <w:r>
        <w:rPr>
          <w:color w:val="212A35"/>
          <w:spacing w:val="-2"/>
        </w:rPr>
        <w:t> </w:t>
      </w:r>
      <w:r>
        <w:rPr>
          <w:color w:val="212A35"/>
        </w:rPr>
        <w:t>to be</w:t>
      </w:r>
      <w:r>
        <w:rPr>
          <w:color w:val="212A35"/>
          <w:spacing w:val="-3"/>
        </w:rPr>
        <w:t> </w:t>
      </w:r>
      <w:r>
        <w:rPr>
          <w:color w:val="212A35"/>
        </w:rPr>
        <w:t>addressed</w:t>
      </w:r>
      <w:r>
        <w:rPr>
          <w:color w:val="212A35"/>
          <w:spacing w:val="-2"/>
        </w:rPr>
        <w:t> </w:t>
      </w:r>
      <w:r>
        <w:rPr>
          <w:color w:val="212A35"/>
        </w:rPr>
        <w:t>by</w:t>
      </w:r>
      <w:r>
        <w:rPr>
          <w:color w:val="212A35"/>
          <w:spacing w:val="-7"/>
        </w:rPr>
        <w:t> </w:t>
      </w:r>
      <w:r>
        <w:rPr>
          <w:color w:val="212A35"/>
        </w:rPr>
        <w:t>the</w:t>
      </w:r>
      <w:r>
        <w:rPr>
          <w:color w:val="212A35"/>
          <w:spacing w:val="-3"/>
        </w:rPr>
        <w:t> </w:t>
      </w:r>
      <w:r>
        <w:rPr>
          <w:color w:val="212A35"/>
        </w:rPr>
        <w:t>faculty</w:t>
      </w:r>
      <w:r>
        <w:rPr>
          <w:color w:val="212A35"/>
          <w:spacing w:val="-7"/>
        </w:rPr>
        <w:t> </w:t>
      </w:r>
      <w:r>
        <w:rPr>
          <w:color w:val="212A35"/>
        </w:rPr>
        <w:t>in</w:t>
      </w:r>
      <w:r>
        <w:rPr>
          <w:color w:val="212A35"/>
          <w:spacing w:val="-2"/>
        </w:rPr>
        <w:t> </w:t>
      </w:r>
      <w:r>
        <w:rPr>
          <w:color w:val="212A35"/>
        </w:rPr>
        <w:t>the</w:t>
      </w:r>
      <w:r>
        <w:rPr>
          <w:color w:val="212A35"/>
          <w:spacing w:val="-3"/>
        </w:rPr>
        <w:t> </w:t>
      </w:r>
      <w:r>
        <w:rPr>
          <w:color w:val="212A35"/>
        </w:rPr>
        <w:t>near</w:t>
      </w:r>
      <w:r>
        <w:rPr>
          <w:color w:val="212A35"/>
          <w:spacing w:val="-3"/>
        </w:rPr>
        <w:t> </w:t>
      </w:r>
      <w:r>
        <w:rPr>
          <w:color w:val="212A35"/>
        </w:rPr>
        <w:t>future. All of the information presented by G. Delandshere can be found in the Box folder for this </w:t>
      </w:r>
      <w:r>
        <w:rPr>
          <w:color w:val="212A35"/>
          <w:spacing w:val="-2"/>
        </w:rPr>
        <w:t>meeting.</w:t>
      </w:r>
    </w:p>
    <w:p>
      <w:pPr>
        <w:spacing w:before="0"/>
        <w:ind w:left="120" w:right="0" w:firstLine="0"/>
        <w:jc w:val="left"/>
        <w:rPr>
          <w:i/>
          <w:sz w:val="24"/>
        </w:rPr>
      </w:pPr>
      <w:r>
        <w:rPr>
          <w:i/>
          <w:color w:val="212A35"/>
          <w:spacing w:val="-2"/>
          <w:sz w:val="24"/>
        </w:rPr>
        <w:t>Discussion</w:t>
      </w:r>
    </w:p>
    <w:p>
      <w:pPr>
        <w:pStyle w:val="BodyText"/>
        <w:ind w:right="170" w:firstLine="720"/>
      </w:pPr>
      <w:r>
        <w:rPr>
          <w:color w:val="212A35"/>
        </w:rPr>
        <w:t>J. Danish asked if there is a way</w:t>
      </w:r>
      <w:r>
        <w:rPr>
          <w:color w:val="212A35"/>
          <w:spacing w:val="-5"/>
        </w:rPr>
        <w:t> </w:t>
      </w:r>
      <w:r>
        <w:rPr>
          <w:color w:val="212A35"/>
        </w:rPr>
        <w:t>to be more thoughtful about how we look at enrollment numbers</w:t>
      </w:r>
      <w:r>
        <w:rPr>
          <w:color w:val="212A35"/>
          <w:spacing w:val="-3"/>
        </w:rPr>
        <w:t> </w:t>
      </w:r>
      <w:r>
        <w:rPr>
          <w:color w:val="212A35"/>
        </w:rPr>
        <w:t>and</w:t>
      </w:r>
      <w:r>
        <w:rPr>
          <w:color w:val="212A35"/>
          <w:spacing w:val="-3"/>
        </w:rPr>
        <w:t> </w:t>
      </w:r>
      <w:r>
        <w:rPr>
          <w:color w:val="212A35"/>
        </w:rPr>
        <w:t>the</w:t>
      </w:r>
      <w:r>
        <w:rPr>
          <w:color w:val="212A35"/>
          <w:spacing w:val="-4"/>
        </w:rPr>
        <w:t> </w:t>
      </w:r>
      <w:r>
        <w:rPr>
          <w:color w:val="212A35"/>
        </w:rPr>
        <w:t>value</w:t>
      </w:r>
      <w:r>
        <w:rPr>
          <w:color w:val="212A35"/>
          <w:spacing w:val="-4"/>
        </w:rPr>
        <w:t> </w:t>
      </w:r>
      <w:r>
        <w:rPr>
          <w:color w:val="212A35"/>
        </w:rPr>
        <w:t>of</w:t>
      </w:r>
      <w:r>
        <w:rPr>
          <w:color w:val="212A35"/>
          <w:spacing w:val="-2"/>
        </w:rPr>
        <w:t> </w:t>
      </w:r>
      <w:r>
        <w:rPr>
          <w:color w:val="212A35"/>
        </w:rPr>
        <w:t>the</w:t>
      </w:r>
      <w:r>
        <w:rPr>
          <w:color w:val="212A35"/>
          <w:spacing w:val="-4"/>
        </w:rPr>
        <w:t> </w:t>
      </w:r>
      <w:r>
        <w:rPr>
          <w:color w:val="212A35"/>
        </w:rPr>
        <w:t>courses</w:t>
      </w:r>
      <w:r>
        <w:rPr>
          <w:color w:val="212A35"/>
          <w:spacing w:val="-3"/>
        </w:rPr>
        <w:t> </w:t>
      </w:r>
      <w:r>
        <w:rPr>
          <w:color w:val="212A35"/>
        </w:rPr>
        <w:t>across</w:t>
      </w:r>
      <w:r>
        <w:rPr>
          <w:color w:val="212A35"/>
          <w:spacing w:val="-3"/>
        </w:rPr>
        <w:t> </w:t>
      </w:r>
      <w:r>
        <w:rPr>
          <w:color w:val="212A35"/>
        </w:rPr>
        <w:t>the</w:t>
      </w:r>
      <w:r>
        <w:rPr>
          <w:color w:val="212A35"/>
          <w:spacing w:val="-4"/>
        </w:rPr>
        <w:t> </w:t>
      </w:r>
      <w:r>
        <w:rPr>
          <w:color w:val="212A35"/>
        </w:rPr>
        <w:t>school.</w:t>
      </w:r>
      <w:r>
        <w:rPr>
          <w:color w:val="212A35"/>
          <w:spacing w:val="-1"/>
        </w:rPr>
        <w:t> </w:t>
      </w:r>
      <w:r>
        <w:rPr>
          <w:color w:val="212A35"/>
        </w:rPr>
        <w:t>It</w:t>
      </w:r>
      <w:r>
        <w:rPr>
          <w:color w:val="212A35"/>
          <w:spacing w:val="-3"/>
        </w:rPr>
        <w:t> </w:t>
      </w:r>
      <w:r>
        <w:rPr>
          <w:color w:val="212A35"/>
        </w:rPr>
        <w:t>seems</w:t>
      </w:r>
      <w:r>
        <w:rPr>
          <w:color w:val="212A35"/>
          <w:spacing w:val="-3"/>
        </w:rPr>
        <w:t> </w:t>
      </w:r>
      <w:r>
        <w:rPr>
          <w:color w:val="212A35"/>
        </w:rPr>
        <w:t>that</w:t>
      </w:r>
      <w:r>
        <w:rPr>
          <w:color w:val="212A35"/>
          <w:spacing w:val="-3"/>
        </w:rPr>
        <w:t> </w:t>
      </w:r>
      <w:r>
        <w:rPr>
          <w:color w:val="212A35"/>
        </w:rPr>
        <w:t>important</w:t>
      </w:r>
      <w:r>
        <w:rPr>
          <w:color w:val="212A35"/>
          <w:spacing w:val="-3"/>
        </w:rPr>
        <w:t> </w:t>
      </w:r>
      <w:r>
        <w:rPr>
          <w:color w:val="212A35"/>
        </w:rPr>
        <w:t>variables</w:t>
      </w:r>
      <w:r>
        <w:rPr>
          <w:color w:val="212A35"/>
          <w:spacing w:val="-3"/>
        </w:rPr>
        <w:t> </w:t>
      </w:r>
      <w:r>
        <w:rPr>
          <w:color w:val="212A35"/>
        </w:rPr>
        <w:t>are</w:t>
      </w:r>
      <w:r>
        <w:rPr>
          <w:color w:val="212A35"/>
          <w:spacing w:val="-4"/>
        </w:rPr>
        <w:t> </w:t>
      </w:r>
      <w:r>
        <w:rPr>
          <w:color w:val="212A35"/>
        </w:rPr>
        <w:t>not captured</w:t>
      </w:r>
      <w:r>
        <w:rPr>
          <w:color w:val="212A35"/>
          <w:spacing w:val="-2"/>
        </w:rPr>
        <w:t> </w:t>
      </w:r>
      <w:r>
        <w:rPr>
          <w:color w:val="212A35"/>
        </w:rPr>
        <w:t>in</w:t>
      </w:r>
      <w:r>
        <w:rPr>
          <w:color w:val="212A35"/>
          <w:spacing w:val="-2"/>
        </w:rPr>
        <w:t> </w:t>
      </w:r>
      <w:r>
        <w:rPr>
          <w:color w:val="212A35"/>
        </w:rPr>
        <w:t>these</w:t>
      </w:r>
      <w:r>
        <w:rPr>
          <w:color w:val="212A35"/>
          <w:spacing w:val="-3"/>
        </w:rPr>
        <w:t> </w:t>
      </w:r>
      <w:r>
        <w:rPr>
          <w:color w:val="212A35"/>
        </w:rPr>
        <w:t>enrollment</w:t>
      </w:r>
      <w:r>
        <w:rPr>
          <w:color w:val="212A35"/>
          <w:spacing w:val="-2"/>
        </w:rPr>
        <w:t> </w:t>
      </w:r>
      <w:r>
        <w:rPr>
          <w:color w:val="212A35"/>
        </w:rPr>
        <w:t>spreadsheets,</w:t>
      </w:r>
      <w:r>
        <w:rPr>
          <w:color w:val="212A35"/>
          <w:spacing w:val="-2"/>
        </w:rPr>
        <w:t> </w:t>
      </w:r>
      <w:r>
        <w:rPr>
          <w:color w:val="212A35"/>
        </w:rPr>
        <w:t>such</w:t>
      </w:r>
      <w:r>
        <w:rPr>
          <w:color w:val="212A35"/>
          <w:spacing w:val="-2"/>
        </w:rPr>
        <w:t> </w:t>
      </w:r>
      <w:r>
        <w:rPr>
          <w:color w:val="212A35"/>
        </w:rPr>
        <w:t>as the</w:t>
      </w:r>
      <w:r>
        <w:rPr>
          <w:color w:val="212A35"/>
          <w:spacing w:val="-3"/>
        </w:rPr>
        <w:t> </w:t>
      </w:r>
      <w:r>
        <w:rPr>
          <w:color w:val="212A35"/>
        </w:rPr>
        <w:t>number</w:t>
      </w:r>
      <w:r>
        <w:rPr>
          <w:color w:val="212A35"/>
          <w:spacing w:val="-3"/>
        </w:rPr>
        <w:t> </w:t>
      </w:r>
      <w:r>
        <w:rPr>
          <w:color w:val="212A35"/>
        </w:rPr>
        <w:t>of</w:t>
      </w:r>
      <w:r>
        <w:rPr>
          <w:color w:val="212A35"/>
          <w:spacing w:val="-3"/>
        </w:rPr>
        <w:t> </w:t>
      </w:r>
      <w:r>
        <w:rPr>
          <w:color w:val="212A35"/>
        </w:rPr>
        <w:t>faculty</w:t>
      </w:r>
      <w:r>
        <w:rPr>
          <w:color w:val="212A35"/>
          <w:spacing w:val="-7"/>
        </w:rPr>
        <w:t> </w:t>
      </w:r>
      <w:r>
        <w:rPr>
          <w:color w:val="212A35"/>
        </w:rPr>
        <w:t>involved</w:t>
      </w:r>
      <w:r>
        <w:rPr>
          <w:color w:val="212A35"/>
          <w:spacing w:val="-2"/>
        </w:rPr>
        <w:t> </w:t>
      </w:r>
      <w:r>
        <w:rPr>
          <w:color w:val="212A35"/>
        </w:rPr>
        <w:t>in</w:t>
      </w:r>
      <w:r>
        <w:rPr>
          <w:color w:val="212A35"/>
          <w:spacing w:val="-2"/>
        </w:rPr>
        <w:t> </w:t>
      </w:r>
      <w:r>
        <w:rPr>
          <w:color w:val="212A35"/>
        </w:rPr>
        <w:t>the</w:t>
      </w:r>
      <w:r>
        <w:rPr>
          <w:color w:val="212A35"/>
          <w:spacing w:val="-3"/>
        </w:rPr>
        <w:t> </w:t>
      </w:r>
      <w:r>
        <w:rPr>
          <w:color w:val="212A35"/>
        </w:rPr>
        <w:t>various programs, the students supported by the teaching of courses, the courses that are required for licensure, and other important factors that should be considered as we examine course and program enrollments. Are there resources that could provide guidance on what data would be important to have on hand when examining our current course and program enrollments? G. Delandshere noted that department and program faculty are much more knowledgeable about this and so these conversations should begin at the program level. It is hard to imagine</w:t>
      </w:r>
      <w:r>
        <w:rPr>
          <w:color w:val="212A35"/>
          <w:spacing w:val="-1"/>
        </w:rPr>
        <w:t> </w:t>
      </w:r>
      <w:r>
        <w:rPr>
          <w:color w:val="212A35"/>
        </w:rPr>
        <w:t>a way</w:t>
      </w:r>
      <w:r>
        <w:rPr>
          <w:color w:val="212A35"/>
          <w:spacing w:val="-4"/>
        </w:rPr>
        <w:t> </w:t>
      </w:r>
      <w:r>
        <w:rPr>
          <w:color w:val="212A35"/>
        </w:rPr>
        <w:t>to find centralized information about this. This highlights the importance of conversations and faculty</w:t>
      </w:r>
      <w:r>
        <w:rPr>
          <w:color w:val="212A35"/>
          <w:spacing w:val="-4"/>
        </w:rPr>
        <w:t> </w:t>
      </w:r>
      <w:r>
        <w:rPr>
          <w:color w:val="212A35"/>
        </w:rPr>
        <w:t>participation in these conversations. K. Wohlwend noted that getting information on the PhD and EdD students that are in programs but no longer taking courses will also be important.</w:t>
      </w:r>
    </w:p>
    <w:p>
      <w:pPr>
        <w:pStyle w:val="BodyText"/>
      </w:pPr>
      <w:r>
        <w:rPr>
          <w:color w:val="212A35"/>
        </w:rPr>
        <w:t>V.</w:t>
      </w:r>
      <w:r>
        <w:rPr>
          <w:color w:val="212A35"/>
          <w:spacing w:val="-1"/>
        </w:rPr>
        <w:t> </w:t>
      </w:r>
      <w:r>
        <w:rPr>
          <w:color w:val="212A35"/>
        </w:rPr>
        <w:t>Borden</w:t>
      </w:r>
      <w:r>
        <w:rPr>
          <w:color w:val="212A35"/>
          <w:spacing w:val="-1"/>
        </w:rPr>
        <w:t> </w:t>
      </w:r>
      <w:r>
        <w:rPr>
          <w:color w:val="212A35"/>
        </w:rPr>
        <w:t>noted</w:t>
      </w:r>
      <w:r>
        <w:rPr>
          <w:color w:val="212A35"/>
          <w:spacing w:val="-1"/>
        </w:rPr>
        <w:t> </w:t>
      </w:r>
      <w:r>
        <w:rPr>
          <w:color w:val="212A35"/>
        </w:rPr>
        <w:t>that</w:t>
      </w:r>
      <w:r>
        <w:rPr>
          <w:color w:val="212A35"/>
          <w:spacing w:val="-1"/>
        </w:rPr>
        <w:t> </w:t>
      </w:r>
      <w:r>
        <w:rPr>
          <w:color w:val="212A35"/>
        </w:rPr>
        <w:t>the bigger</w:t>
      </w:r>
      <w:r>
        <w:rPr>
          <w:color w:val="212A35"/>
          <w:spacing w:val="-2"/>
        </w:rPr>
        <w:t> </w:t>
      </w:r>
      <w:r>
        <w:rPr>
          <w:color w:val="212A35"/>
        </w:rPr>
        <w:t>underlying</w:t>
      </w:r>
      <w:r>
        <w:rPr>
          <w:color w:val="212A35"/>
          <w:spacing w:val="-4"/>
        </w:rPr>
        <w:t> </w:t>
      </w:r>
      <w:r>
        <w:rPr>
          <w:color w:val="212A35"/>
        </w:rPr>
        <w:t>issue</w:t>
      </w:r>
      <w:r>
        <w:rPr>
          <w:color w:val="212A35"/>
          <w:spacing w:val="-2"/>
        </w:rPr>
        <w:t> </w:t>
      </w:r>
      <w:r>
        <w:rPr>
          <w:color w:val="212A35"/>
        </w:rPr>
        <w:t>is</w:t>
      </w:r>
      <w:r>
        <w:rPr>
          <w:color w:val="212A35"/>
          <w:spacing w:val="-1"/>
        </w:rPr>
        <w:t> </w:t>
      </w:r>
      <w:r>
        <w:rPr>
          <w:color w:val="212A35"/>
        </w:rPr>
        <w:t>defining</w:t>
      </w:r>
      <w:r>
        <w:rPr>
          <w:color w:val="212A35"/>
          <w:spacing w:val="-4"/>
        </w:rPr>
        <w:t> </w:t>
      </w:r>
      <w:r>
        <w:rPr>
          <w:color w:val="212A35"/>
        </w:rPr>
        <w:t>who</w:t>
      </w:r>
      <w:r>
        <w:rPr>
          <w:color w:val="212A35"/>
          <w:spacing w:val="-1"/>
        </w:rPr>
        <w:t> </w:t>
      </w:r>
      <w:r>
        <w:rPr>
          <w:color w:val="212A35"/>
        </w:rPr>
        <w:t>is</w:t>
      </w:r>
      <w:r>
        <w:rPr>
          <w:color w:val="212A35"/>
          <w:spacing w:val="-1"/>
        </w:rPr>
        <w:t> </w:t>
      </w:r>
      <w:r>
        <w:rPr>
          <w:color w:val="212A35"/>
        </w:rPr>
        <w:t>in</w:t>
      </w:r>
      <w:r>
        <w:rPr>
          <w:color w:val="212A35"/>
          <w:spacing w:val="-1"/>
        </w:rPr>
        <w:t> </w:t>
      </w:r>
      <w:r>
        <w:rPr>
          <w:color w:val="212A35"/>
        </w:rPr>
        <w:t>our</w:t>
      </w:r>
      <w:r>
        <w:rPr>
          <w:color w:val="212A35"/>
          <w:spacing w:val="-2"/>
        </w:rPr>
        <w:t> </w:t>
      </w:r>
      <w:r>
        <w:rPr>
          <w:color w:val="212A35"/>
        </w:rPr>
        <w:t>program.</w:t>
      </w:r>
      <w:r>
        <w:rPr>
          <w:color w:val="212A35"/>
          <w:spacing w:val="-1"/>
        </w:rPr>
        <w:t> </w:t>
      </w:r>
      <w:r>
        <w:rPr>
          <w:color w:val="212A35"/>
        </w:rPr>
        <w:t>This</w:t>
      </w:r>
      <w:r>
        <w:rPr>
          <w:color w:val="212A35"/>
          <w:spacing w:val="-1"/>
        </w:rPr>
        <w:t> </w:t>
      </w:r>
      <w:r>
        <w:rPr>
          <w:color w:val="212A35"/>
        </w:rPr>
        <w:t>could happen through conversations to develop some common understandings about what this data means</w:t>
      </w:r>
      <w:r>
        <w:rPr>
          <w:color w:val="212A35"/>
          <w:spacing w:val="-4"/>
        </w:rPr>
        <w:t> </w:t>
      </w:r>
      <w:r>
        <w:rPr>
          <w:color w:val="212A35"/>
        </w:rPr>
        <w:t>or</w:t>
      </w:r>
      <w:r>
        <w:rPr>
          <w:color w:val="212A35"/>
          <w:spacing w:val="-5"/>
        </w:rPr>
        <w:t> </w:t>
      </w:r>
      <w:r>
        <w:rPr>
          <w:color w:val="212A35"/>
        </w:rPr>
        <w:t>represents.</w:t>
      </w:r>
      <w:r>
        <w:rPr>
          <w:color w:val="212A35"/>
          <w:spacing w:val="-4"/>
        </w:rPr>
        <w:t> </w:t>
      </w:r>
      <w:r>
        <w:rPr>
          <w:color w:val="212A35"/>
        </w:rPr>
        <w:t>G.</w:t>
      </w:r>
      <w:r>
        <w:rPr>
          <w:color w:val="212A35"/>
          <w:spacing w:val="-2"/>
        </w:rPr>
        <w:t> </w:t>
      </w:r>
      <w:r>
        <w:rPr>
          <w:color w:val="212A35"/>
        </w:rPr>
        <w:t>Delandshere</w:t>
      </w:r>
      <w:r>
        <w:rPr>
          <w:color w:val="212A35"/>
          <w:spacing w:val="-5"/>
        </w:rPr>
        <w:t> </w:t>
      </w:r>
      <w:r>
        <w:rPr>
          <w:color w:val="212A35"/>
        </w:rPr>
        <w:t>reiterated</w:t>
      </w:r>
      <w:r>
        <w:rPr>
          <w:color w:val="212A35"/>
          <w:spacing w:val="-5"/>
        </w:rPr>
        <w:t> </w:t>
      </w:r>
      <w:r>
        <w:rPr>
          <w:color w:val="212A35"/>
        </w:rPr>
        <w:t>that</w:t>
      </w:r>
      <w:r>
        <w:rPr>
          <w:color w:val="212A35"/>
          <w:spacing w:val="-4"/>
        </w:rPr>
        <w:t> </w:t>
      </w:r>
      <w:r>
        <w:rPr>
          <w:color w:val="212A35"/>
        </w:rPr>
        <w:t>the</w:t>
      </w:r>
      <w:r>
        <w:rPr>
          <w:color w:val="212A35"/>
          <w:spacing w:val="-5"/>
        </w:rPr>
        <w:t> </w:t>
      </w:r>
      <w:r>
        <w:rPr>
          <w:color w:val="212A35"/>
        </w:rPr>
        <w:t>numbers</w:t>
      </w:r>
      <w:r>
        <w:rPr>
          <w:color w:val="212A35"/>
          <w:spacing w:val="-4"/>
        </w:rPr>
        <w:t> </w:t>
      </w:r>
      <w:r>
        <w:rPr>
          <w:color w:val="212A35"/>
        </w:rPr>
        <w:t>presented</w:t>
      </w:r>
      <w:r>
        <w:rPr>
          <w:color w:val="212A35"/>
          <w:spacing w:val="-2"/>
        </w:rPr>
        <w:t> </w:t>
      </w:r>
      <w:r>
        <w:rPr>
          <w:color w:val="212A35"/>
        </w:rPr>
        <w:t>here</w:t>
      </w:r>
      <w:r>
        <w:rPr>
          <w:color w:val="212A35"/>
          <w:spacing w:val="-5"/>
        </w:rPr>
        <w:t> </w:t>
      </w:r>
      <w:r>
        <w:rPr>
          <w:color w:val="212A35"/>
        </w:rPr>
        <w:t>are</w:t>
      </w:r>
      <w:r>
        <w:rPr>
          <w:color w:val="212A35"/>
          <w:spacing w:val="-5"/>
        </w:rPr>
        <w:t> </w:t>
      </w:r>
      <w:r>
        <w:rPr>
          <w:color w:val="212A35"/>
        </w:rPr>
        <w:t>not</w:t>
      </w:r>
      <w:r>
        <w:rPr>
          <w:color w:val="212A35"/>
          <w:spacing w:val="-4"/>
        </w:rPr>
        <w:t> </w:t>
      </w:r>
      <w:r>
        <w:rPr>
          <w:color w:val="212A35"/>
        </w:rPr>
        <w:t>precise,</w:t>
      </w:r>
    </w:p>
    <w:p>
      <w:pPr>
        <w:spacing w:after="0"/>
        <w:sectPr>
          <w:pgSz w:w="12240" w:h="15840"/>
          <w:pgMar w:top="1360" w:bottom="280" w:left="1320" w:right="1340"/>
        </w:sectPr>
      </w:pPr>
    </w:p>
    <w:p>
      <w:pPr>
        <w:pStyle w:val="BodyText"/>
        <w:spacing w:before="74"/>
        <w:ind w:right="99"/>
      </w:pPr>
      <w:r>
        <w:rPr>
          <w:color w:val="212A35"/>
        </w:rPr>
        <w:t>given the limitations of our current data gathering tools, but it does make visible some of the patterns we are experiencing at the program level. G. Gonzalez noted that the data presented is very School of Education focused. Getting centralized data from the University may be more beneficial to capture information on students and student appointments that may be located outside of the School. V. Borden highlighted the difference in perspectives between the Dean’s Office and the departments. The Dean’s Office is focused on what the School is processing relating</w:t>
      </w:r>
      <w:r>
        <w:rPr>
          <w:color w:val="212A35"/>
          <w:spacing w:val="-5"/>
        </w:rPr>
        <w:t> </w:t>
      </w:r>
      <w:r>
        <w:rPr>
          <w:color w:val="212A35"/>
        </w:rPr>
        <w:t>to</w:t>
      </w:r>
      <w:r>
        <w:rPr>
          <w:color w:val="212A35"/>
          <w:spacing w:val="-2"/>
        </w:rPr>
        <w:t> </w:t>
      </w:r>
      <w:r>
        <w:rPr>
          <w:color w:val="212A35"/>
        </w:rPr>
        <w:t>departments</w:t>
      </w:r>
      <w:r>
        <w:rPr>
          <w:color w:val="212A35"/>
          <w:spacing w:val="-3"/>
        </w:rPr>
        <w:t> </w:t>
      </w:r>
      <w:r>
        <w:rPr>
          <w:color w:val="212A35"/>
        </w:rPr>
        <w:t>and</w:t>
      </w:r>
      <w:r>
        <w:rPr>
          <w:color w:val="212A35"/>
          <w:spacing w:val="-2"/>
        </w:rPr>
        <w:t> </w:t>
      </w:r>
      <w:r>
        <w:rPr>
          <w:color w:val="212A35"/>
        </w:rPr>
        <w:t>students,</w:t>
      </w:r>
      <w:r>
        <w:rPr>
          <w:color w:val="212A35"/>
          <w:spacing w:val="-3"/>
        </w:rPr>
        <w:t> </w:t>
      </w:r>
      <w:r>
        <w:rPr>
          <w:color w:val="212A35"/>
        </w:rPr>
        <w:t>while</w:t>
      </w:r>
      <w:r>
        <w:rPr>
          <w:color w:val="212A35"/>
          <w:spacing w:val="-3"/>
        </w:rPr>
        <w:t> </w:t>
      </w:r>
      <w:r>
        <w:rPr>
          <w:color w:val="212A35"/>
        </w:rPr>
        <w:t>the</w:t>
      </w:r>
      <w:r>
        <w:rPr>
          <w:color w:val="212A35"/>
          <w:spacing w:val="-3"/>
        </w:rPr>
        <w:t> </w:t>
      </w:r>
      <w:r>
        <w:rPr>
          <w:color w:val="212A35"/>
        </w:rPr>
        <w:t>department</w:t>
      </w:r>
      <w:r>
        <w:rPr>
          <w:color w:val="212A35"/>
          <w:spacing w:val="-2"/>
        </w:rPr>
        <w:t> </w:t>
      </w:r>
      <w:r>
        <w:rPr>
          <w:color w:val="212A35"/>
        </w:rPr>
        <w:t>is</w:t>
      </w:r>
      <w:r>
        <w:rPr>
          <w:color w:val="212A35"/>
          <w:spacing w:val="-3"/>
        </w:rPr>
        <w:t> </w:t>
      </w:r>
      <w:r>
        <w:rPr>
          <w:color w:val="212A35"/>
        </w:rPr>
        <w:t>focused</w:t>
      </w:r>
      <w:r>
        <w:rPr>
          <w:color w:val="212A35"/>
          <w:spacing w:val="-2"/>
        </w:rPr>
        <w:t> </w:t>
      </w:r>
      <w:r>
        <w:rPr>
          <w:color w:val="212A35"/>
        </w:rPr>
        <w:t>on</w:t>
      </w:r>
      <w:r>
        <w:rPr>
          <w:color w:val="212A35"/>
          <w:spacing w:val="-3"/>
        </w:rPr>
        <w:t> </w:t>
      </w:r>
      <w:r>
        <w:rPr>
          <w:color w:val="212A35"/>
        </w:rPr>
        <w:t>how</w:t>
      </w:r>
      <w:r>
        <w:rPr>
          <w:color w:val="212A35"/>
          <w:spacing w:val="-3"/>
        </w:rPr>
        <w:t> </w:t>
      </w:r>
      <w:r>
        <w:rPr>
          <w:color w:val="212A35"/>
        </w:rPr>
        <w:t>they</w:t>
      </w:r>
      <w:r>
        <w:rPr>
          <w:color w:val="212A35"/>
          <w:spacing w:val="-5"/>
        </w:rPr>
        <w:t> </w:t>
      </w:r>
      <w:r>
        <w:rPr>
          <w:color w:val="212A35"/>
        </w:rPr>
        <w:t>can</w:t>
      </w:r>
      <w:r>
        <w:rPr>
          <w:color w:val="212A35"/>
          <w:spacing w:val="-1"/>
        </w:rPr>
        <w:t> </w:t>
      </w:r>
      <w:r>
        <w:rPr>
          <w:color w:val="212A35"/>
        </w:rPr>
        <w:t>assist</w:t>
      </w:r>
      <w:r>
        <w:rPr>
          <w:color w:val="212A35"/>
          <w:spacing w:val="-2"/>
        </w:rPr>
        <w:t> </w:t>
      </w:r>
      <w:r>
        <w:rPr>
          <w:color w:val="212A35"/>
        </w:rPr>
        <w:t>their students, which may include assisting with finding appointments outside of the School of </w:t>
      </w:r>
      <w:r>
        <w:rPr>
          <w:color w:val="212A35"/>
          <w:spacing w:val="-2"/>
        </w:rPr>
        <w:t>Education.</w:t>
      </w:r>
    </w:p>
    <w:p>
      <w:pPr>
        <w:pStyle w:val="BodyText"/>
        <w:ind w:left="0"/>
      </w:pPr>
    </w:p>
    <w:p>
      <w:pPr>
        <w:pStyle w:val="Heading1"/>
        <w:rPr>
          <w:b w:val="0"/>
        </w:rPr>
      </w:pPr>
      <w:r>
        <w:rPr/>
        <w:t>Structure</w:t>
      </w:r>
      <w:r>
        <w:rPr>
          <w:spacing w:val="-2"/>
        </w:rPr>
        <w:t> </w:t>
      </w:r>
      <w:r>
        <w:rPr/>
        <w:t>of School of</w:t>
      </w:r>
      <w:r>
        <w:rPr>
          <w:spacing w:val="-2"/>
        </w:rPr>
        <w:t> </w:t>
      </w:r>
      <w:r>
        <w:rPr/>
        <w:t>Education </w:t>
      </w:r>
      <w:r>
        <w:rPr>
          <w:spacing w:val="-2"/>
        </w:rPr>
        <w:t>Budget</w:t>
      </w:r>
      <w:r>
        <w:rPr>
          <w:b w:val="0"/>
          <w:spacing w:val="-2"/>
        </w:rPr>
        <w:t>-</w:t>
      </w:r>
    </w:p>
    <w:p>
      <w:pPr>
        <w:spacing w:before="0"/>
        <w:ind w:left="120" w:right="0" w:firstLine="0"/>
        <w:jc w:val="left"/>
        <w:rPr>
          <w:i/>
          <w:sz w:val="24"/>
        </w:rPr>
      </w:pPr>
      <w:r>
        <w:rPr>
          <w:i/>
          <w:sz w:val="24"/>
        </w:rPr>
        <w:t>Jeff</w:t>
      </w:r>
      <w:r>
        <w:rPr>
          <w:i/>
          <w:spacing w:val="-4"/>
          <w:sz w:val="24"/>
        </w:rPr>
        <w:t> </w:t>
      </w:r>
      <w:r>
        <w:rPr>
          <w:i/>
          <w:sz w:val="24"/>
        </w:rPr>
        <w:t>Buszkiewicz,</w:t>
      </w:r>
      <w:r>
        <w:rPr>
          <w:i/>
          <w:spacing w:val="-2"/>
          <w:sz w:val="24"/>
        </w:rPr>
        <w:t> </w:t>
      </w:r>
      <w:r>
        <w:rPr>
          <w:i/>
          <w:sz w:val="24"/>
        </w:rPr>
        <w:t>Assistant</w:t>
      </w:r>
      <w:r>
        <w:rPr>
          <w:i/>
          <w:spacing w:val="-2"/>
          <w:sz w:val="24"/>
        </w:rPr>
        <w:t> </w:t>
      </w:r>
      <w:r>
        <w:rPr>
          <w:i/>
          <w:sz w:val="24"/>
        </w:rPr>
        <w:t>Dean</w:t>
      </w:r>
      <w:r>
        <w:rPr>
          <w:i/>
          <w:spacing w:val="-1"/>
          <w:sz w:val="24"/>
        </w:rPr>
        <w:t> </w:t>
      </w:r>
      <w:r>
        <w:rPr>
          <w:i/>
          <w:sz w:val="24"/>
        </w:rPr>
        <w:t>of</w:t>
      </w:r>
      <w:r>
        <w:rPr>
          <w:i/>
          <w:spacing w:val="-2"/>
          <w:sz w:val="24"/>
        </w:rPr>
        <w:t> </w:t>
      </w:r>
      <w:r>
        <w:rPr>
          <w:i/>
          <w:sz w:val="24"/>
        </w:rPr>
        <w:t>Finance</w:t>
      </w:r>
      <w:r>
        <w:rPr>
          <w:i/>
          <w:spacing w:val="-3"/>
          <w:sz w:val="24"/>
        </w:rPr>
        <w:t> </w:t>
      </w:r>
      <w:r>
        <w:rPr>
          <w:i/>
          <w:sz w:val="24"/>
        </w:rPr>
        <w:t>and</w:t>
      </w:r>
      <w:r>
        <w:rPr>
          <w:i/>
          <w:spacing w:val="1"/>
          <w:sz w:val="24"/>
        </w:rPr>
        <w:t> </w:t>
      </w:r>
      <w:r>
        <w:rPr>
          <w:i/>
          <w:spacing w:val="-2"/>
          <w:sz w:val="24"/>
        </w:rPr>
        <w:t>Administration</w:t>
      </w:r>
    </w:p>
    <w:p>
      <w:pPr>
        <w:pStyle w:val="BodyText"/>
        <w:ind w:right="168"/>
      </w:pPr>
      <w:r>
        <w:rPr/>
        <w:t>J. Buszkiewicz explained how the budget process works. In doing so he reviewed responsibility centered management (RCM), meaning</w:t>
      </w:r>
      <w:r>
        <w:rPr>
          <w:spacing w:val="-3"/>
        </w:rPr>
        <w:t> </w:t>
      </w:r>
      <w:r>
        <w:rPr/>
        <w:t>the</w:t>
      </w:r>
      <w:r>
        <w:rPr>
          <w:spacing w:val="-1"/>
        </w:rPr>
        <w:t> </w:t>
      </w:r>
      <w:r>
        <w:rPr/>
        <w:t>units are</w:t>
      </w:r>
      <w:r>
        <w:rPr>
          <w:spacing w:val="-1"/>
        </w:rPr>
        <w:t> </w:t>
      </w:r>
      <w:r>
        <w:rPr/>
        <w:t>responsible for</w:t>
      </w:r>
      <w:r>
        <w:rPr>
          <w:spacing w:val="-1"/>
        </w:rPr>
        <w:t> </w:t>
      </w:r>
      <w:r>
        <w:rPr/>
        <w:t>managing</w:t>
      </w:r>
      <w:r>
        <w:rPr>
          <w:spacing w:val="-3"/>
        </w:rPr>
        <w:t> </w:t>
      </w:r>
      <w:r>
        <w:rPr/>
        <w:t>their revenue</w:t>
      </w:r>
      <w:r>
        <w:rPr>
          <w:spacing w:val="-1"/>
        </w:rPr>
        <w:t> </w:t>
      </w:r>
      <w:r>
        <w:rPr/>
        <w:t>and expenditures. He described the reality of IUs approach to RCM, which is more of a hybrid model, and reviewed what the general fund is and how it is developed. Relating to tuition, the campus looks at a three-year average of credit hours at a fixed tuition rate (not a blended rate of in-state</w:t>
      </w:r>
      <w:r>
        <w:rPr>
          <w:spacing w:val="-1"/>
        </w:rPr>
        <w:t> </w:t>
      </w:r>
      <w:r>
        <w:rPr/>
        <w:t>and out-of-state</w:t>
      </w:r>
      <w:r>
        <w:rPr>
          <w:spacing w:val="-1"/>
        </w:rPr>
        <w:t> </w:t>
      </w:r>
      <w:r>
        <w:rPr/>
        <w:t>rates). Graduate</w:t>
      </w:r>
      <w:r>
        <w:rPr>
          <w:spacing w:val="-1"/>
        </w:rPr>
        <w:t> </w:t>
      </w:r>
      <w:r>
        <w:rPr/>
        <w:t>school and summer</w:t>
      </w:r>
      <w:r>
        <w:rPr>
          <w:spacing w:val="-1"/>
        </w:rPr>
        <w:t> </w:t>
      </w:r>
      <w:r>
        <w:rPr/>
        <w:t>school tuition is different in that all tuition revenue goes directly to the school. While our enrollments have decreased over the past few years, our state appropriation has increased as a percent of total revenue. In addition, while we</w:t>
      </w:r>
      <w:r>
        <w:rPr>
          <w:spacing w:val="-4"/>
        </w:rPr>
        <w:t> </w:t>
      </w:r>
      <w:r>
        <w:rPr/>
        <w:t>have</w:t>
      </w:r>
      <w:r>
        <w:rPr>
          <w:spacing w:val="-2"/>
        </w:rPr>
        <w:t> </w:t>
      </w:r>
      <w:r>
        <w:rPr/>
        <w:t>experienced</w:t>
      </w:r>
      <w:r>
        <w:rPr>
          <w:spacing w:val="-1"/>
        </w:rPr>
        <w:t> </w:t>
      </w:r>
      <w:r>
        <w:rPr/>
        <w:t>a</w:t>
      </w:r>
      <w:r>
        <w:rPr>
          <w:spacing w:val="-4"/>
        </w:rPr>
        <w:t> </w:t>
      </w:r>
      <w:r>
        <w:rPr/>
        <w:t>decrease</w:t>
      </w:r>
      <w:r>
        <w:rPr>
          <w:spacing w:val="-4"/>
        </w:rPr>
        <w:t> </w:t>
      </w:r>
      <w:r>
        <w:rPr/>
        <w:t>in</w:t>
      </w:r>
      <w:r>
        <w:rPr>
          <w:spacing w:val="-3"/>
        </w:rPr>
        <w:t> </w:t>
      </w:r>
      <w:r>
        <w:rPr/>
        <w:t>overall</w:t>
      </w:r>
      <w:r>
        <w:rPr>
          <w:spacing w:val="-3"/>
        </w:rPr>
        <w:t> </w:t>
      </w:r>
      <w:r>
        <w:rPr/>
        <w:t>revenue,</w:t>
      </w:r>
      <w:r>
        <w:rPr>
          <w:spacing w:val="-3"/>
        </w:rPr>
        <w:t> </w:t>
      </w:r>
      <w:r>
        <w:rPr/>
        <w:t>the</w:t>
      </w:r>
      <w:r>
        <w:rPr>
          <w:spacing w:val="-4"/>
        </w:rPr>
        <w:t> </w:t>
      </w:r>
      <w:r>
        <w:rPr/>
        <w:t>assessments</w:t>
      </w:r>
      <w:r>
        <w:rPr>
          <w:spacing w:val="-3"/>
        </w:rPr>
        <w:t> </w:t>
      </w:r>
      <w:r>
        <w:rPr/>
        <w:t>charged</w:t>
      </w:r>
      <w:r>
        <w:rPr>
          <w:spacing w:val="-3"/>
        </w:rPr>
        <w:t> </w:t>
      </w:r>
      <w:r>
        <w:rPr/>
        <w:t>to</w:t>
      </w:r>
      <w:r>
        <w:rPr>
          <w:spacing w:val="-3"/>
        </w:rPr>
        <w:t> </w:t>
      </w:r>
      <w:r>
        <w:rPr/>
        <w:t>the</w:t>
      </w:r>
      <w:r>
        <w:rPr>
          <w:spacing w:val="-4"/>
        </w:rPr>
        <w:t> </w:t>
      </w:r>
      <w:r>
        <w:rPr/>
        <w:t>School</w:t>
      </w:r>
      <w:r>
        <w:rPr>
          <w:spacing w:val="-3"/>
        </w:rPr>
        <w:t> </w:t>
      </w:r>
      <w:r>
        <w:rPr/>
        <w:t>by</w:t>
      </w:r>
      <w:r>
        <w:rPr>
          <w:spacing w:val="-7"/>
        </w:rPr>
        <w:t> </w:t>
      </w:r>
      <w:r>
        <w:rPr/>
        <w:t>the University are growing, which is problematic. The School of Education has had a reduction in overall head count and credit hours, which are two of the three variables that affect assessments over</w:t>
      </w:r>
      <w:r>
        <w:rPr>
          <w:spacing w:val="-3"/>
        </w:rPr>
        <w:t> </w:t>
      </w:r>
      <w:r>
        <w:rPr/>
        <w:t>the</w:t>
      </w:r>
      <w:r>
        <w:rPr>
          <w:spacing w:val="-3"/>
        </w:rPr>
        <w:t> </w:t>
      </w:r>
      <w:r>
        <w:rPr/>
        <w:t>past</w:t>
      </w:r>
      <w:r>
        <w:rPr>
          <w:spacing w:val="-2"/>
        </w:rPr>
        <w:t> </w:t>
      </w:r>
      <w:r>
        <w:rPr/>
        <w:t>5 years,</w:t>
      </w:r>
      <w:r>
        <w:rPr>
          <w:spacing w:val="-2"/>
        </w:rPr>
        <w:t> </w:t>
      </w:r>
      <w:r>
        <w:rPr/>
        <w:t>and so</w:t>
      </w:r>
      <w:r>
        <w:rPr>
          <w:spacing w:val="-2"/>
        </w:rPr>
        <w:t> </w:t>
      </w:r>
      <w:r>
        <w:rPr/>
        <w:t>we</w:t>
      </w:r>
      <w:r>
        <w:rPr>
          <w:spacing w:val="-3"/>
        </w:rPr>
        <w:t> </w:t>
      </w:r>
      <w:r>
        <w:rPr/>
        <w:t>have</w:t>
      </w:r>
      <w:r>
        <w:rPr>
          <w:spacing w:val="-3"/>
        </w:rPr>
        <w:t> </w:t>
      </w:r>
      <w:r>
        <w:rPr/>
        <w:t>not</w:t>
      </w:r>
      <w:r>
        <w:rPr>
          <w:spacing w:val="-2"/>
        </w:rPr>
        <w:t> </w:t>
      </w:r>
      <w:r>
        <w:rPr/>
        <w:t>been</w:t>
      </w:r>
      <w:r>
        <w:rPr>
          <w:spacing w:val="-2"/>
        </w:rPr>
        <w:t> </w:t>
      </w:r>
      <w:r>
        <w:rPr/>
        <w:t>as</w:t>
      </w:r>
      <w:r>
        <w:rPr>
          <w:spacing w:val="-2"/>
        </w:rPr>
        <w:t> </w:t>
      </w:r>
      <w:r>
        <w:rPr/>
        <w:t>impacted</w:t>
      </w:r>
      <w:r>
        <w:rPr>
          <w:spacing w:val="-2"/>
        </w:rPr>
        <w:t> </w:t>
      </w:r>
      <w:r>
        <w:rPr/>
        <w:t>by</w:t>
      </w:r>
      <w:r>
        <w:rPr>
          <w:spacing w:val="-7"/>
        </w:rPr>
        <w:t> </w:t>
      </w:r>
      <w:r>
        <w:rPr/>
        <w:t>the</w:t>
      </w:r>
      <w:r>
        <w:rPr>
          <w:spacing w:val="-3"/>
        </w:rPr>
        <w:t> </w:t>
      </w:r>
      <w:r>
        <w:rPr/>
        <w:t>increase</w:t>
      </w:r>
      <w:r>
        <w:rPr>
          <w:spacing w:val="-3"/>
        </w:rPr>
        <w:t> </w:t>
      </w:r>
      <w:r>
        <w:rPr/>
        <w:t>in</w:t>
      </w:r>
      <w:r>
        <w:rPr>
          <w:spacing w:val="-2"/>
        </w:rPr>
        <w:t> </w:t>
      </w:r>
      <w:r>
        <w:rPr/>
        <w:t>assessment</w:t>
      </w:r>
      <w:r>
        <w:rPr>
          <w:spacing w:val="-2"/>
        </w:rPr>
        <w:t> </w:t>
      </w:r>
      <w:r>
        <w:rPr/>
        <w:t>rates as much as other units have. It is difficult to determine the cost of instruction when we are in an unstable environment. The various instructor resources (AI, GA, faculty, adjunct) also complicates our ability to determine a per course cost. Department budgets are allocated based on faculty head count. 95% of our School budget is related to compensation—fee remissions, financial aid and salaries. We are currently operating at a deficit. Our goal is to continue to find areas for cost-savings to bring us closer to a break-even point for the year.</w:t>
      </w:r>
    </w:p>
    <w:p>
      <w:pPr>
        <w:spacing w:before="1"/>
        <w:ind w:left="120" w:right="0" w:firstLine="0"/>
        <w:jc w:val="left"/>
        <w:rPr>
          <w:i/>
          <w:sz w:val="24"/>
        </w:rPr>
      </w:pPr>
      <w:r>
        <w:rPr>
          <w:i/>
          <w:spacing w:val="-2"/>
          <w:sz w:val="24"/>
        </w:rPr>
        <w:t>Discussion</w:t>
      </w:r>
    </w:p>
    <w:p>
      <w:pPr>
        <w:pStyle w:val="BodyText"/>
        <w:ind w:left="119" w:right="170"/>
      </w:pPr>
      <w:r>
        <w:rPr/>
        <w:t>K. Glazewski asked what part of this process is most critical for faculty to understand. J. Buszkiewicz replied that it is important to understand that we have a lot of fixed expenses. As a result, we have deep conversations whenever there is a vacancy- staff or faculty. Also, the lack of stability in enrollments makes budgeting very difficult. Discussion ensued regarding how the Foundation account fits in to this budgeting process. These funds are restricted by donor intent and largely dedicated to fellowships. Further discussion ensued about the difficulty of determining</w:t>
      </w:r>
      <w:r>
        <w:rPr>
          <w:spacing w:val="-6"/>
        </w:rPr>
        <w:t> </w:t>
      </w:r>
      <w:r>
        <w:rPr/>
        <w:t>the</w:t>
      </w:r>
      <w:r>
        <w:rPr>
          <w:spacing w:val="-2"/>
        </w:rPr>
        <w:t> </w:t>
      </w:r>
      <w:r>
        <w:rPr/>
        <w:t>cost</w:t>
      </w:r>
      <w:r>
        <w:rPr>
          <w:spacing w:val="-3"/>
        </w:rPr>
        <w:t> </w:t>
      </w:r>
      <w:r>
        <w:rPr/>
        <w:t>of</w:t>
      </w:r>
      <w:r>
        <w:rPr>
          <w:spacing w:val="-4"/>
        </w:rPr>
        <w:t> </w:t>
      </w:r>
      <w:r>
        <w:rPr/>
        <w:t>credit</w:t>
      </w:r>
      <w:r>
        <w:rPr>
          <w:spacing w:val="-3"/>
        </w:rPr>
        <w:t> </w:t>
      </w:r>
      <w:r>
        <w:rPr/>
        <w:t>hours</w:t>
      </w:r>
      <w:r>
        <w:rPr>
          <w:spacing w:val="-3"/>
        </w:rPr>
        <w:t> </w:t>
      </w:r>
      <w:r>
        <w:rPr/>
        <w:t>at</w:t>
      </w:r>
      <w:r>
        <w:rPr>
          <w:spacing w:val="-3"/>
        </w:rPr>
        <w:t> </w:t>
      </w:r>
      <w:r>
        <w:rPr/>
        <w:t>the</w:t>
      </w:r>
      <w:r>
        <w:rPr>
          <w:spacing w:val="-2"/>
        </w:rPr>
        <w:t> </w:t>
      </w:r>
      <w:r>
        <w:rPr/>
        <w:t>graduate</w:t>
      </w:r>
      <w:r>
        <w:rPr>
          <w:spacing w:val="-4"/>
        </w:rPr>
        <w:t> </w:t>
      </w:r>
      <w:r>
        <w:rPr/>
        <w:t>and</w:t>
      </w:r>
      <w:r>
        <w:rPr>
          <w:spacing w:val="-3"/>
        </w:rPr>
        <w:t> </w:t>
      </w:r>
      <w:r>
        <w:rPr/>
        <w:t>undergraduate</w:t>
      </w:r>
      <w:r>
        <w:rPr>
          <w:spacing w:val="-4"/>
        </w:rPr>
        <w:t> </w:t>
      </w:r>
      <w:r>
        <w:rPr/>
        <w:t>level.</w:t>
      </w:r>
      <w:r>
        <w:rPr>
          <w:spacing w:val="-3"/>
        </w:rPr>
        <w:t> </w:t>
      </w:r>
      <w:r>
        <w:rPr/>
        <w:t>D.</w:t>
      </w:r>
      <w:r>
        <w:rPr>
          <w:spacing w:val="-3"/>
        </w:rPr>
        <w:t> </w:t>
      </w:r>
      <w:r>
        <w:rPr/>
        <w:t>Nord</w:t>
      </w:r>
      <w:r>
        <w:rPr>
          <w:spacing w:val="-3"/>
        </w:rPr>
        <w:t> </w:t>
      </w:r>
      <w:r>
        <w:rPr/>
        <w:t>asked</w:t>
      </w:r>
      <w:r>
        <w:rPr>
          <w:spacing w:val="-3"/>
        </w:rPr>
        <w:t> </w:t>
      </w:r>
      <w:r>
        <w:rPr/>
        <w:t>what impact the faculty have as far as generating extra dollars through research funding and funding students. Funding that can support students eases pressure from the general fund around fee remission and compensation for GAships, which is a benefit.</w:t>
      </w:r>
    </w:p>
    <w:p>
      <w:pPr>
        <w:pStyle w:val="BodyText"/>
        <w:ind w:left="0"/>
      </w:pPr>
    </w:p>
    <w:p>
      <w:pPr>
        <w:spacing w:before="0"/>
        <w:ind w:left="119" w:right="0" w:firstLine="0"/>
        <w:jc w:val="both"/>
        <w:rPr>
          <w:i/>
          <w:sz w:val="24"/>
        </w:rPr>
      </w:pPr>
      <w:r>
        <w:rPr>
          <w:b/>
          <w:sz w:val="24"/>
        </w:rPr>
        <w:t>Dean’s</w:t>
      </w:r>
      <w:r>
        <w:rPr>
          <w:b/>
          <w:spacing w:val="-3"/>
          <w:sz w:val="24"/>
        </w:rPr>
        <w:t> </w:t>
      </w:r>
      <w:r>
        <w:rPr>
          <w:b/>
          <w:sz w:val="24"/>
        </w:rPr>
        <w:t>Discussion-</w:t>
      </w:r>
      <w:r>
        <w:rPr>
          <w:b/>
          <w:spacing w:val="-4"/>
          <w:sz w:val="24"/>
        </w:rPr>
        <w:t> </w:t>
      </w:r>
      <w:r>
        <w:rPr>
          <w:i/>
          <w:sz w:val="24"/>
        </w:rPr>
        <w:t>Lemuel</w:t>
      </w:r>
      <w:r>
        <w:rPr>
          <w:i/>
          <w:spacing w:val="1"/>
          <w:sz w:val="24"/>
        </w:rPr>
        <w:t> </w:t>
      </w:r>
      <w:r>
        <w:rPr>
          <w:i/>
          <w:spacing w:val="-2"/>
          <w:sz w:val="24"/>
        </w:rPr>
        <w:t>Watson</w:t>
      </w:r>
    </w:p>
    <w:p>
      <w:pPr>
        <w:pStyle w:val="BodyText"/>
        <w:ind w:left="119" w:right="107"/>
        <w:jc w:val="both"/>
      </w:pPr>
      <w:r>
        <w:rPr/>
        <w:t>Dean Watson noted some of the upcoming</w:t>
      </w:r>
      <w:r>
        <w:rPr>
          <w:spacing w:val="-1"/>
        </w:rPr>
        <w:t> </w:t>
      </w:r>
      <w:r>
        <w:rPr/>
        <w:t>important dates where critical conversations will take place. It is important to have discussions as a faculty</w:t>
      </w:r>
      <w:r>
        <w:rPr>
          <w:spacing w:val="-4"/>
        </w:rPr>
        <w:t> </w:t>
      </w:r>
      <w:r>
        <w:rPr/>
        <w:t>as a whole. Please hold January</w:t>
      </w:r>
      <w:r>
        <w:rPr>
          <w:spacing w:val="-4"/>
        </w:rPr>
        <w:t> </w:t>
      </w:r>
      <w:r>
        <w:rPr/>
        <w:t>10 as a day for faculty discussion. Dean Watson thanked faculty for their comments throughout the morning and</w:t>
      </w:r>
      <w:r>
        <w:rPr>
          <w:spacing w:val="-3"/>
        </w:rPr>
        <w:t> </w:t>
      </w:r>
      <w:r>
        <w:rPr/>
        <w:t>reiterated</w:t>
      </w:r>
      <w:r>
        <w:rPr>
          <w:spacing w:val="-3"/>
        </w:rPr>
        <w:t> </w:t>
      </w:r>
      <w:r>
        <w:rPr/>
        <w:t>the</w:t>
      </w:r>
      <w:r>
        <w:rPr>
          <w:spacing w:val="-4"/>
        </w:rPr>
        <w:t> </w:t>
      </w:r>
      <w:r>
        <w:rPr/>
        <w:t>importance</w:t>
      </w:r>
      <w:r>
        <w:rPr>
          <w:spacing w:val="-4"/>
        </w:rPr>
        <w:t> </w:t>
      </w:r>
      <w:r>
        <w:rPr/>
        <w:t>of</w:t>
      </w:r>
      <w:r>
        <w:rPr>
          <w:spacing w:val="-4"/>
        </w:rPr>
        <w:t> </w:t>
      </w:r>
      <w:r>
        <w:rPr/>
        <w:t>data—gathering</w:t>
      </w:r>
      <w:r>
        <w:rPr>
          <w:spacing w:val="-3"/>
        </w:rPr>
        <w:t> </w:t>
      </w:r>
      <w:r>
        <w:rPr/>
        <w:t>data</w:t>
      </w:r>
      <w:r>
        <w:rPr>
          <w:spacing w:val="-4"/>
        </w:rPr>
        <w:t> </w:t>
      </w:r>
      <w:r>
        <w:rPr/>
        <w:t>to</w:t>
      </w:r>
      <w:r>
        <w:rPr>
          <w:spacing w:val="-3"/>
        </w:rPr>
        <w:t> </w:t>
      </w:r>
      <w:r>
        <w:rPr/>
        <w:t>make</w:t>
      </w:r>
      <w:r>
        <w:rPr>
          <w:spacing w:val="-4"/>
        </w:rPr>
        <w:t> </w:t>
      </w:r>
      <w:r>
        <w:rPr/>
        <w:t>informed</w:t>
      </w:r>
      <w:r>
        <w:rPr>
          <w:spacing w:val="-3"/>
        </w:rPr>
        <w:t> </w:t>
      </w:r>
      <w:r>
        <w:rPr/>
        <w:t>decisions.</w:t>
      </w:r>
      <w:r>
        <w:rPr>
          <w:spacing w:val="-3"/>
        </w:rPr>
        <w:t> </w:t>
      </w:r>
      <w:r>
        <w:rPr/>
        <w:t>Governance</w:t>
      </w:r>
      <w:r>
        <w:rPr>
          <w:spacing w:val="-4"/>
        </w:rPr>
        <w:t> </w:t>
      </w:r>
      <w:r>
        <w:rPr/>
        <w:t>is an issue we need to address here. The structure of our committees may be problematic for our</w:t>
      </w:r>
    </w:p>
    <w:p>
      <w:pPr>
        <w:spacing w:after="0"/>
        <w:jc w:val="both"/>
        <w:sectPr>
          <w:pgSz w:w="12240" w:h="15840"/>
          <w:pgMar w:top="1360" w:bottom="280" w:left="1320" w:right="1340"/>
        </w:sectPr>
      </w:pPr>
    </w:p>
    <w:p>
      <w:pPr>
        <w:pStyle w:val="BodyText"/>
        <w:spacing w:before="74"/>
        <w:ind w:left="119" w:right="136"/>
      </w:pPr>
      <w:r>
        <w:rPr/>
        <w:t>work moving forward. Some points of concern include that we don’t seem to have a true curriculum committee. Also, there are no elections for committee membership. People express concerns that committees are busy work. Do we have mechanisms in place to address the needs of the school moving forward, such as the development of interdisciplinary programs? Merging programs and merging departments are things we need to talk about. Perhaps we need to have monthly meetings of the faculty to have these important conversations. A dean can provide examples, can guide, but the faculty need to make the decisions. How can we develop a merit review system that reflects our values and helps to build faculty up? The faculty needs to make decisions about how to get organized to get work done. This is something our committee structure</w:t>
      </w:r>
      <w:r>
        <w:rPr>
          <w:spacing w:val="-3"/>
        </w:rPr>
        <w:t> </w:t>
      </w:r>
      <w:r>
        <w:rPr/>
        <w:t>should</w:t>
      </w:r>
      <w:r>
        <w:rPr>
          <w:spacing w:val="-2"/>
        </w:rPr>
        <w:t> </w:t>
      </w:r>
      <w:r>
        <w:rPr/>
        <w:t>do</w:t>
      </w:r>
      <w:r>
        <w:rPr>
          <w:spacing w:val="-2"/>
        </w:rPr>
        <w:t> </w:t>
      </w:r>
      <w:r>
        <w:rPr/>
        <w:t>for</w:t>
      </w:r>
      <w:r>
        <w:rPr>
          <w:spacing w:val="-3"/>
        </w:rPr>
        <w:t> </w:t>
      </w:r>
      <w:r>
        <w:rPr/>
        <w:t>us. If</w:t>
      </w:r>
      <w:r>
        <w:rPr>
          <w:spacing w:val="-3"/>
        </w:rPr>
        <w:t> </w:t>
      </w:r>
      <w:r>
        <w:rPr/>
        <w:t>it</w:t>
      </w:r>
      <w:r>
        <w:rPr>
          <w:spacing w:val="-2"/>
        </w:rPr>
        <w:t> </w:t>
      </w:r>
      <w:r>
        <w:rPr/>
        <w:t>is</w:t>
      </w:r>
      <w:r>
        <w:rPr>
          <w:spacing w:val="-2"/>
        </w:rPr>
        <w:t> </w:t>
      </w:r>
      <w:r>
        <w:rPr/>
        <w:t>not,</w:t>
      </w:r>
      <w:r>
        <w:rPr>
          <w:spacing w:val="-2"/>
        </w:rPr>
        <w:t> </w:t>
      </w:r>
      <w:r>
        <w:rPr/>
        <w:t>that</w:t>
      </w:r>
      <w:r>
        <w:rPr>
          <w:spacing w:val="-2"/>
        </w:rPr>
        <w:t> </w:t>
      </w:r>
      <w:r>
        <w:rPr/>
        <w:t>is</w:t>
      </w:r>
      <w:r>
        <w:rPr>
          <w:spacing w:val="-2"/>
        </w:rPr>
        <w:t> </w:t>
      </w:r>
      <w:r>
        <w:rPr/>
        <w:t>a</w:t>
      </w:r>
      <w:r>
        <w:rPr>
          <w:spacing w:val="-4"/>
        </w:rPr>
        <w:t> </w:t>
      </w:r>
      <w:r>
        <w:rPr/>
        <w:t>sign</w:t>
      </w:r>
      <w:r>
        <w:rPr>
          <w:spacing w:val="-2"/>
        </w:rPr>
        <w:t> </w:t>
      </w:r>
      <w:r>
        <w:rPr/>
        <w:t>that</w:t>
      </w:r>
      <w:r>
        <w:rPr>
          <w:spacing w:val="-2"/>
        </w:rPr>
        <w:t> </w:t>
      </w:r>
      <w:r>
        <w:rPr/>
        <w:t>we</w:t>
      </w:r>
      <w:r>
        <w:rPr>
          <w:spacing w:val="-3"/>
        </w:rPr>
        <w:t> </w:t>
      </w:r>
      <w:r>
        <w:rPr/>
        <w:t>are</w:t>
      </w:r>
      <w:r>
        <w:rPr>
          <w:spacing w:val="-3"/>
        </w:rPr>
        <w:t> </w:t>
      </w:r>
      <w:r>
        <w:rPr/>
        <w:t>not</w:t>
      </w:r>
      <w:r>
        <w:rPr>
          <w:spacing w:val="-2"/>
        </w:rPr>
        <w:t> </w:t>
      </w:r>
      <w:r>
        <w:rPr/>
        <w:t>organized in</w:t>
      </w:r>
      <w:r>
        <w:rPr>
          <w:spacing w:val="-2"/>
        </w:rPr>
        <w:t> </w:t>
      </w:r>
      <w:r>
        <w:rPr/>
        <w:t>the</w:t>
      </w:r>
      <w:r>
        <w:rPr>
          <w:spacing w:val="-3"/>
        </w:rPr>
        <w:t> </w:t>
      </w:r>
      <w:r>
        <w:rPr/>
        <w:t>right</w:t>
      </w:r>
      <w:r>
        <w:rPr>
          <w:spacing w:val="-2"/>
        </w:rPr>
        <w:t> </w:t>
      </w:r>
      <w:r>
        <w:rPr/>
        <w:t>way</w:t>
      </w:r>
      <w:r>
        <w:rPr>
          <w:spacing w:val="-5"/>
        </w:rPr>
        <w:t> </w:t>
      </w:r>
      <w:r>
        <w:rPr/>
        <w:t>and the committee structure may</w:t>
      </w:r>
      <w:r>
        <w:rPr>
          <w:spacing w:val="-2"/>
        </w:rPr>
        <w:t> </w:t>
      </w:r>
      <w:r>
        <w:rPr/>
        <w:t>need to be changed. It is important that the faculty</w:t>
      </w:r>
      <w:r>
        <w:rPr>
          <w:spacing w:val="-2"/>
        </w:rPr>
        <w:t> </w:t>
      </w:r>
      <w:r>
        <w:rPr/>
        <w:t>communicate to Dean Watson where they want to go as a School moving forward.</w:t>
      </w:r>
    </w:p>
    <w:p>
      <w:pPr>
        <w:spacing w:before="0"/>
        <w:ind w:left="119" w:right="0" w:firstLine="0"/>
        <w:jc w:val="left"/>
        <w:rPr>
          <w:i/>
          <w:sz w:val="24"/>
        </w:rPr>
      </w:pPr>
      <w:r>
        <w:rPr>
          <w:i/>
          <w:spacing w:val="-2"/>
          <w:sz w:val="24"/>
        </w:rPr>
        <w:t>Discussion</w:t>
      </w:r>
    </w:p>
    <w:p>
      <w:pPr>
        <w:pStyle w:val="BodyText"/>
        <w:ind w:left="119" w:right="136"/>
      </w:pPr>
      <w:r>
        <w:rPr/>
        <w:t>There was a brief discussion about how a curriculum committee would benefit the School. Dean Watson explained that a department has a curriculum committee to make sure that any</w:t>
      </w:r>
      <w:r>
        <w:rPr>
          <w:spacing w:val="-2"/>
        </w:rPr>
        <w:t> </w:t>
      </w:r>
      <w:r>
        <w:rPr/>
        <w:t>course or program proposals meet all needs and are well aligned. The program would then go to a school- wide curriculum committee, which would have representation from the department and who would be knowledgeable about the other courses and programs in the School. Here potential duplications of courses or programs or other issues would be flagged before sending it on to the University level. Discussion ensued about how to change faculty governance structures without going</w:t>
      </w:r>
      <w:r>
        <w:rPr>
          <w:spacing w:val="-2"/>
        </w:rPr>
        <w:t> </w:t>
      </w:r>
      <w:r>
        <w:rPr/>
        <w:t>through the mechanisms of existing</w:t>
      </w:r>
      <w:r>
        <w:rPr>
          <w:spacing w:val="-2"/>
        </w:rPr>
        <w:t> </w:t>
      </w:r>
      <w:r>
        <w:rPr/>
        <w:t>faculty</w:t>
      </w:r>
      <w:r>
        <w:rPr>
          <w:spacing w:val="-2"/>
        </w:rPr>
        <w:t> </w:t>
      </w:r>
      <w:r>
        <w:rPr/>
        <w:t>governance structures. Dean Watson proposed monthly meetings of the faculty where restructuring conversations could take place. Further faculty discussion addressed the importance of having multiple perspectives and voices represented and the how this might be achieved more effectively through our current Policy Council governance</w:t>
      </w:r>
      <w:r>
        <w:rPr>
          <w:spacing w:val="-1"/>
        </w:rPr>
        <w:t> </w:t>
      </w:r>
      <w:r>
        <w:rPr/>
        <w:t>structure</w:t>
      </w:r>
      <w:r>
        <w:rPr>
          <w:spacing w:val="-1"/>
        </w:rPr>
        <w:t> </w:t>
      </w:r>
      <w:r>
        <w:rPr/>
        <w:t>versus in a</w:t>
      </w:r>
      <w:r>
        <w:rPr>
          <w:spacing w:val="-1"/>
        </w:rPr>
        <w:t> </w:t>
      </w:r>
      <w:r>
        <w:rPr/>
        <w:t>series of faculty</w:t>
      </w:r>
      <w:r>
        <w:rPr>
          <w:spacing w:val="-5"/>
        </w:rPr>
        <w:t> </w:t>
      </w:r>
      <w:r>
        <w:rPr/>
        <w:t>meetings. There was a</w:t>
      </w:r>
      <w:r>
        <w:rPr>
          <w:spacing w:val="-1"/>
        </w:rPr>
        <w:t> </w:t>
      </w:r>
      <w:r>
        <w:rPr/>
        <w:t>brief</w:t>
      </w:r>
      <w:r>
        <w:rPr>
          <w:spacing w:val="-1"/>
        </w:rPr>
        <w:t> </w:t>
      </w:r>
      <w:r>
        <w:rPr/>
        <w:t>discussion of the process for proposing changes to Policy Council. Several faculty suggested that communication might be a needed focus area moving forward, noting that we need multiple input opportunities and enhanced communication without instituting a series of additional meetings of the full faculty. Dean Watson suggested that Policy Council take up this communication issue and develop an agenda for the January 10 all-faculty meeting that focuses on this issue. Faculty pointed out that a lot of input and documentation of needs and interests took place during the process of splitting with IUPUI. Perhaps we could look to that work to inform us moving forward without needing to go through a similar input process again. A comment was made that current efforts by the Graduate Studies Office to bring together faculty involved</w:t>
      </w:r>
      <w:r>
        <w:rPr>
          <w:spacing w:val="-3"/>
        </w:rPr>
        <w:t> </w:t>
      </w:r>
      <w:r>
        <w:rPr/>
        <w:t>in</w:t>
      </w:r>
      <w:r>
        <w:rPr>
          <w:spacing w:val="-3"/>
        </w:rPr>
        <w:t> </w:t>
      </w:r>
      <w:r>
        <w:rPr/>
        <w:t>EdD</w:t>
      </w:r>
      <w:r>
        <w:rPr>
          <w:spacing w:val="-4"/>
        </w:rPr>
        <w:t> </w:t>
      </w:r>
      <w:r>
        <w:rPr/>
        <w:t>programs</w:t>
      </w:r>
      <w:r>
        <w:rPr>
          <w:spacing w:val="-3"/>
        </w:rPr>
        <w:t> </w:t>
      </w:r>
      <w:r>
        <w:rPr/>
        <w:t>across</w:t>
      </w:r>
      <w:r>
        <w:rPr>
          <w:spacing w:val="-3"/>
        </w:rPr>
        <w:t> </w:t>
      </w:r>
      <w:r>
        <w:rPr/>
        <w:t>the</w:t>
      </w:r>
      <w:r>
        <w:rPr>
          <w:spacing w:val="-4"/>
        </w:rPr>
        <w:t> </w:t>
      </w:r>
      <w:r>
        <w:rPr/>
        <w:t>School</w:t>
      </w:r>
      <w:r>
        <w:rPr>
          <w:spacing w:val="-3"/>
        </w:rPr>
        <w:t> </w:t>
      </w:r>
      <w:r>
        <w:rPr/>
        <w:t>have</w:t>
      </w:r>
      <w:r>
        <w:rPr>
          <w:spacing w:val="-4"/>
        </w:rPr>
        <w:t> </w:t>
      </w:r>
      <w:r>
        <w:rPr/>
        <w:t>been</w:t>
      </w:r>
      <w:r>
        <w:rPr>
          <w:spacing w:val="-3"/>
        </w:rPr>
        <w:t> </w:t>
      </w:r>
      <w:r>
        <w:rPr/>
        <w:t>very</w:t>
      </w:r>
      <w:r>
        <w:rPr>
          <w:spacing w:val="-7"/>
        </w:rPr>
        <w:t> </w:t>
      </w:r>
      <w:r>
        <w:rPr/>
        <w:t>successful</w:t>
      </w:r>
      <w:r>
        <w:rPr>
          <w:spacing w:val="-3"/>
        </w:rPr>
        <w:t> </w:t>
      </w:r>
      <w:r>
        <w:rPr/>
        <w:t>and</w:t>
      </w:r>
      <w:r>
        <w:rPr>
          <w:spacing w:val="-3"/>
        </w:rPr>
        <w:t> </w:t>
      </w:r>
      <w:r>
        <w:rPr/>
        <w:t>generated</w:t>
      </w:r>
      <w:r>
        <w:rPr>
          <w:spacing w:val="-3"/>
        </w:rPr>
        <w:t> </w:t>
      </w:r>
      <w:r>
        <w:rPr/>
        <w:t>new</w:t>
      </w:r>
      <w:r>
        <w:rPr>
          <w:spacing w:val="-4"/>
        </w:rPr>
        <w:t> </w:t>
      </w:r>
      <w:r>
        <w:rPr/>
        <w:t>ideas. This approach of making connections across departments at the program level—more of a bottom-up approach to change—may be more successful than relying on Policy Council to develop top-down change ideas. Dean Watson agreed. The meeting closed with Dean Watson thanking faculty for their attendance and their work.</w:t>
      </w:r>
    </w:p>
    <w:p>
      <w:pPr>
        <w:pStyle w:val="BodyText"/>
        <w:spacing w:before="1"/>
        <w:ind w:left="0"/>
      </w:pPr>
    </w:p>
    <w:p>
      <w:pPr>
        <w:pStyle w:val="BodyText"/>
      </w:pPr>
      <w:r>
        <w:rPr/>
        <w:t>Meeting</w:t>
      </w:r>
      <w:r>
        <w:rPr>
          <w:spacing w:val="-2"/>
        </w:rPr>
        <w:t> </w:t>
      </w:r>
      <w:r>
        <w:rPr/>
        <w:t>adjourned at</w:t>
      </w:r>
      <w:r>
        <w:rPr>
          <w:spacing w:val="-1"/>
        </w:rPr>
        <w:t> </w:t>
      </w:r>
      <w:r>
        <w:rPr/>
        <w:t>12:02</w:t>
      </w:r>
      <w:r>
        <w:rPr>
          <w:spacing w:val="-1"/>
        </w:rPr>
        <w:t> </w:t>
      </w:r>
      <w:r>
        <w:rPr>
          <w:spacing w:val="-5"/>
        </w:rPr>
        <w:t>PM</w:t>
      </w:r>
    </w:p>
    <w:p>
      <w:pPr>
        <w:pStyle w:val="BodyText"/>
        <w:spacing w:before="230"/>
        <w:ind w:left="0"/>
      </w:pPr>
    </w:p>
    <w:p>
      <w:pPr>
        <w:pStyle w:val="Heading1"/>
      </w:pPr>
      <w:r>
        <w:rPr/>
        <w:t>Dates</w:t>
      </w:r>
      <w:r>
        <w:rPr>
          <w:spacing w:val="-2"/>
        </w:rPr>
        <w:t> </w:t>
      </w:r>
      <w:r>
        <w:rPr/>
        <w:t>to</w:t>
      </w:r>
      <w:r>
        <w:rPr>
          <w:spacing w:val="-1"/>
        </w:rPr>
        <w:t> </w:t>
      </w:r>
      <w:r>
        <w:rPr/>
        <w:t>hold</w:t>
      </w:r>
      <w:r>
        <w:rPr>
          <w:spacing w:val="-1"/>
        </w:rPr>
        <w:t> </w:t>
      </w:r>
      <w:r>
        <w:rPr/>
        <w:t>for</w:t>
      </w:r>
      <w:r>
        <w:rPr>
          <w:spacing w:val="-2"/>
        </w:rPr>
        <w:t> </w:t>
      </w:r>
      <w:r>
        <w:rPr/>
        <w:t>Spring</w:t>
      </w:r>
      <w:r>
        <w:rPr>
          <w:spacing w:val="-1"/>
        </w:rPr>
        <w:t> </w:t>
      </w:r>
      <w:r>
        <w:rPr>
          <w:spacing w:val="-2"/>
        </w:rPr>
        <w:t>2020:</w:t>
      </w:r>
    </w:p>
    <w:p>
      <w:pPr>
        <w:pStyle w:val="ListParagraph"/>
        <w:numPr>
          <w:ilvl w:val="0"/>
          <w:numId w:val="1"/>
        </w:numPr>
        <w:tabs>
          <w:tab w:pos="839" w:val="left" w:leader="none"/>
        </w:tabs>
        <w:spacing w:line="240" w:lineRule="auto" w:before="226" w:after="0"/>
        <w:ind w:left="839" w:right="0" w:hanging="359"/>
        <w:jc w:val="left"/>
        <w:rPr>
          <w:sz w:val="24"/>
        </w:rPr>
      </w:pPr>
      <w:r>
        <w:rPr>
          <w:sz w:val="24"/>
        </w:rPr>
        <w:t>Faculty</w:t>
      </w:r>
      <w:r>
        <w:rPr>
          <w:spacing w:val="-6"/>
          <w:sz w:val="24"/>
        </w:rPr>
        <w:t> </w:t>
      </w:r>
      <w:r>
        <w:rPr>
          <w:sz w:val="24"/>
        </w:rPr>
        <w:t>Meeting-</w:t>
      </w:r>
      <w:r>
        <w:rPr>
          <w:spacing w:val="-1"/>
          <w:sz w:val="24"/>
        </w:rPr>
        <w:t> </w:t>
      </w:r>
      <w:r>
        <w:rPr>
          <w:sz w:val="24"/>
        </w:rPr>
        <w:t>Talk, Reflect</w:t>
      </w:r>
      <w:r>
        <w:rPr>
          <w:spacing w:val="2"/>
          <w:sz w:val="24"/>
        </w:rPr>
        <w:t> </w:t>
      </w:r>
      <w:r>
        <w:rPr>
          <w:sz w:val="24"/>
        </w:rPr>
        <w:t>&amp;</w:t>
      </w:r>
      <w:r>
        <w:rPr>
          <w:spacing w:val="-3"/>
          <w:sz w:val="24"/>
        </w:rPr>
        <w:t> </w:t>
      </w:r>
      <w:r>
        <w:rPr>
          <w:sz w:val="24"/>
        </w:rPr>
        <w:t>Reception – Friday, January</w:t>
      </w:r>
      <w:r>
        <w:rPr>
          <w:spacing w:val="-6"/>
          <w:sz w:val="24"/>
        </w:rPr>
        <w:t> </w:t>
      </w:r>
      <w:r>
        <w:rPr>
          <w:sz w:val="24"/>
        </w:rPr>
        <w:t>10, noon to 4:30 </w:t>
      </w:r>
      <w:r>
        <w:rPr>
          <w:spacing w:val="-5"/>
          <w:sz w:val="24"/>
        </w:rPr>
        <w:t>pm</w:t>
      </w:r>
    </w:p>
    <w:p>
      <w:pPr>
        <w:pStyle w:val="ListParagraph"/>
        <w:numPr>
          <w:ilvl w:val="0"/>
          <w:numId w:val="1"/>
        </w:numPr>
        <w:tabs>
          <w:tab w:pos="839" w:val="left" w:leader="none"/>
        </w:tabs>
        <w:spacing w:line="240" w:lineRule="auto" w:before="68" w:after="0"/>
        <w:ind w:left="839" w:right="0" w:hanging="359"/>
        <w:jc w:val="left"/>
        <w:rPr>
          <w:sz w:val="24"/>
        </w:rPr>
      </w:pPr>
      <w:r>
        <w:rPr>
          <w:sz w:val="24"/>
        </w:rPr>
        <w:t>Spring</w:t>
      </w:r>
      <w:r>
        <w:rPr>
          <w:spacing w:val="-6"/>
          <w:sz w:val="24"/>
        </w:rPr>
        <w:t> </w:t>
      </w:r>
      <w:r>
        <w:rPr>
          <w:sz w:val="24"/>
        </w:rPr>
        <w:t>2020 Faculty</w:t>
      </w:r>
      <w:r>
        <w:rPr>
          <w:spacing w:val="-5"/>
          <w:sz w:val="24"/>
        </w:rPr>
        <w:t> </w:t>
      </w:r>
      <w:r>
        <w:rPr>
          <w:sz w:val="24"/>
        </w:rPr>
        <w:t>Meeting</w:t>
      </w:r>
      <w:r>
        <w:rPr>
          <w:spacing w:val="-3"/>
          <w:sz w:val="24"/>
        </w:rPr>
        <w:t> </w:t>
      </w:r>
      <w:r>
        <w:rPr>
          <w:sz w:val="24"/>
        </w:rPr>
        <w:t>–</w:t>
      </w:r>
      <w:r>
        <w:rPr>
          <w:spacing w:val="-1"/>
          <w:sz w:val="24"/>
        </w:rPr>
        <w:t> </w:t>
      </w:r>
      <w:r>
        <w:rPr>
          <w:sz w:val="24"/>
        </w:rPr>
        <w:t>Friday, March 27,</w:t>
      </w:r>
      <w:r>
        <w:rPr>
          <w:spacing w:val="2"/>
          <w:sz w:val="24"/>
        </w:rPr>
        <w:t> </w:t>
      </w:r>
      <w:r>
        <w:rPr>
          <w:sz w:val="24"/>
        </w:rPr>
        <w:t>10:00 am</w:t>
      </w:r>
      <w:r>
        <w:rPr>
          <w:spacing w:val="-1"/>
          <w:sz w:val="24"/>
        </w:rPr>
        <w:t> </w:t>
      </w:r>
      <w:r>
        <w:rPr>
          <w:sz w:val="24"/>
        </w:rPr>
        <w:t>– noon – SoE</w:t>
      </w:r>
      <w:r>
        <w:rPr>
          <w:spacing w:val="-1"/>
          <w:sz w:val="24"/>
        </w:rPr>
        <w:t> </w:t>
      </w:r>
      <w:r>
        <w:rPr>
          <w:spacing w:val="-2"/>
          <w:sz w:val="24"/>
        </w:rPr>
        <w:t>Auditorium</w:t>
      </w:r>
    </w:p>
    <w:p>
      <w:pPr>
        <w:spacing w:after="0" w:line="240" w:lineRule="auto"/>
        <w:jc w:val="left"/>
        <w:rPr>
          <w:sz w:val="24"/>
        </w:rPr>
        <w:sectPr>
          <w:pgSz w:w="12240" w:h="15840"/>
          <w:pgMar w:top="1360" w:bottom="280" w:left="1320" w:right="1340"/>
        </w:sectPr>
      </w:pPr>
    </w:p>
    <w:p>
      <w:pPr>
        <w:pStyle w:val="ListParagraph"/>
        <w:numPr>
          <w:ilvl w:val="0"/>
          <w:numId w:val="1"/>
        </w:numPr>
        <w:tabs>
          <w:tab w:pos="839" w:val="left" w:leader="none"/>
        </w:tabs>
        <w:spacing w:line="240" w:lineRule="auto" w:before="74" w:after="0"/>
        <w:ind w:left="839" w:right="0" w:hanging="359"/>
        <w:jc w:val="left"/>
        <w:rPr>
          <w:sz w:val="24"/>
        </w:rPr>
      </w:pPr>
      <w:r>
        <w:rPr>
          <w:sz w:val="24"/>
        </w:rPr>
        <w:t>All</w:t>
      </w:r>
      <w:r>
        <w:rPr>
          <w:spacing w:val="-3"/>
          <w:sz w:val="24"/>
        </w:rPr>
        <w:t> </w:t>
      </w:r>
      <w:r>
        <w:rPr>
          <w:sz w:val="24"/>
        </w:rPr>
        <w:t>School Meeting</w:t>
      </w:r>
      <w:r>
        <w:rPr>
          <w:spacing w:val="-4"/>
          <w:sz w:val="24"/>
        </w:rPr>
        <w:t> </w:t>
      </w:r>
      <w:r>
        <w:rPr>
          <w:sz w:val="24"/>
        </w:rPr>
        <w:t>–</w:t>
      </w:r>
      <w:r>
        <w:rPr>
          <w:spacing w:val="2"/>
          <w:sz w:val="24"/>
        </w:rPr>
        <w:t> </w:t>
      </w:r>
      <w:r>
        <w:rPr>
          <w:sz w:val="24"/>
        </w:rPr>
        <w:t>Friday, May</w:t>
      </w:r>
      <w:r>
        <w:rPr>
          <w:spacing w:val="-6"/>
          <w:sz w:val="24"/>
        </w:rPr>
        <w:t> </w:t>
      </w:r>
      <w:r>
        <w:rPr>
          <w:sz w:val="24"/>
        </w:rPr>
        <w:t>1, 10:00</w:t>
      </w:r>
      <w:r>
        <w:rPr>
          <w:spacing w:val="-1"/>
          <w:sz w:val="24"/>
        </w:rPr>
        <w:t> </w:t>
      </w:r>
      <w:r>
        <w:rPr>
          <w:sz w:val="24"/>
        </w:rPr>
        <w:t>am –</w:t>
      </w:r>
      <w:r>
        <w:rPr>
          <w:spacing w:val="2"/>
          <w:sz w:val="24"/>
        </w:rPr>
        <w:t> </w:t>
      </w:r>
      <w:r>
        <w:rPr>
          <w:sz w:val="24"/>
        </w:rPr>
        <w:t>noon</w:t>
      </w:r>
      <w:r>
        <w:rPr>
          <w:spacing w:val="-1"/>
          <w:sz w:val="24"/>
        </w:rPr>
        <w:t> </w:t>
      </w:r>
      <w:r>
        <w:rPr>
          <w:sz w:val="24"/>
        </w:rPr>
        <w:t>– SoE</w:t>
      </w:r>
      <w:r>
        <w:rPr>
          <w:spacing w:val="-1"/>
          <w:sz w:val="24"/>
        </w:rPr>
        <w:t> </w:t>
      </w:r>
      <w:r>
        <w:rPr>
          <w:spacing w:val="-2"/>
          <w:sz w:val="24"/>
        </w:rPr>
        <w:t>Auditorium</w:t>
      </w:r>
    </w:p>
    <w:sectPr>
      <w:pgSz w:w="12240" w:h="15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68"/>
      <w:ind w:left="83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Terrence Craig</dc:creator>
  <dc:description/>
  <dcterms:created xsi:type="dcterms:W3CDTF">2024-03-27T14:48:38Z</dcterms:created>
  <dcterms:modified xsi:type="dcterms:W3CDTF">2024-03-27T14:48:38Z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19 for Word</vt:lpwstr>
  </property>
  <property fmtid="{D5CDD505-2E9C-101B-9397-08002B2CF9AE}" pid="4" name="LastSaved">
    <vt:filetime>2024-03-27T00:00:00Z</vt:filetime>
  </property>
  <property fmtid="{D5CDD505-2E9C-101B-9397-08002B2CF9AE}" pid="5" name="Producer">
    <vt:lpwstr>Adobe PDF Library 19.21.90</vt:lpwstr>
  </property>
  <property fmtid="{D5CDD505-2E9C-101B-9397-08002B2CF9AE}" pid="6" name="SourceModified">
    <vt:lpwstr>D:20191205195606</vt:lpwstr>
  </property>
</Properties>
</file>