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3F1A" w14:textId="27C955FF" w:rsidR="00372AD0" w:rsidRPr="00372AD0" w:rsidRDefault="00372AD0">
      <w:pPr>
        <w:rPr>
          <w:rFonts w:ascii="Times New Roman" w:hAnsi="Times New Roman" w:cs="Times New Roman"/>
        </w:rPr>
      </w:pPr>
      <w:r w:rsidRPr="00372AD0">
        <w:rPr>
          <w:rFonts w:ascii="Times New Roman" w:hAnsi="Times New Roman" w:cs="Times New Roman"/>
        </w:rPr>
        <w:t xml:space="preserve">2023-2024 </w:t>
      </w:r>
      <w:r w:rsidR="00C01C94">
        <w:rPr>
          <w:rFonts w:ascii="Times New Roman" w:hAnsi="Times New Roman" w:cs="Times New Roman"/>
        </w:rPr>
        <w:t>Graduate Studies and Rec</w:t>
      </w:r>
      <w:r w:rsidR="00302B88">
        <w:rPr>
          <w:rFonts w:ascii="Times New Roman" w:hAnsi="Times New Roman" w:cs="Times New Roman"/>
        </w:rPr>
        <w:t>ruitment, Admissions &amp; Financial Aid (GSC)</w:t>
      </w:r>
      <w:r w:rsidRPr="00372AD0">
        <w:rPr>
          <w:rFonts w:ascii="Times New Roman" w:hAnsi="Times New Roman" w:cs="Times New Roman"/>
        </w:rPr>
        <w:t xml:space="preserve"> Committee Annual Report </w:t>
      </w:r>
    </w:p>
    <w:tbl>
      <w:tblPr>
        <w:tblW w:w="143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149"/>
        <w:gridCol w:w="2644"/>
        <w:gridCol w:w="3150"/>
        <w:gridCol w:w="1350"/>
        <w:gridCol w:w="2520"/>
      </w:tblGrid>
      <w:tr w:rsidR="00C01C94" w:rsidRPr="00C01C94" w14:paraId="5DCB2A70" w14:textId="77777777" w:rsidTr="00C01C94">
        <w:trPr>
          <w:trHeight w:val="458"/>
        </w:trPr>
        <w:tc>
          <w:tcPr>
            <w:tcW w:w="1497" w:type="dxa"/>
            <w:shd w:val="clear" w:color="auto" w:fill="auto"/>
            <w:vAlign w:val="center"/>
          </w:tcPr>
          <w:p w14:paraId="04833C32" w14:textId="3B77C036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9A8F6BF" w14:textId="2DB35FC2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Charges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14:paraId="220EDA26" w14:textId="556D53F7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Progress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D3B8B3" w14:textId="5E3B174D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Barriers, if any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B617D27" w14:textId="326553D4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Estimated Completion Date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60AF7A4" w14:textId="559419EC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Additional Notes</w:t>
            </w:r>
          </w:p>
        </w:tc>
      </w:tr>
      <w:tr w:rsidR="00C01C94" w:rsidRPr="00C01C94" w14:paraId="0BCC583D" w14:textId="77777777" w:rsidTr="00C01C94">
        <w:trPr>
          <w:trHeight w:val="2250"/>
        </w:trPr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14:paraId="56DE8825" w14:textId="77777777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Graduate Studies and Recruitment, Admissions &amp; Financial Aid (GSC)</w:t>
            </w:r>
          </w:p>
        </w:tc>
        <w:tc>
          <w:tcPr>
            <w:tcW w:w="3149" w:type="dxa"/>
            <w:shd w:val="clear" w:color="auto" w:fill="auto"/>
            <w:hideMark/>
          </w:tcPr>
          <w:p w14:paraId="3219C4D1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1: Review Fee Remission Credit Flexibility Policy (21.65) and </w:t>
            </w:r>
            <w:proofErr w:type="spellStart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allign</w:t>
            </w:r>
            <w:proofErr w:type="spellEnd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with https://vpfaa.indiana.edu/policies/bl-aca-c8-fee-remission/index.html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14:paraId="21A04372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 committee has discussed the Policy Charge on February 26, 2024.</w:t>
            </w:r>
          </w:p>
        </w:tc>
        <w:tc>
          <w:tcPr>
            <w:tcW w:w="3150" w:type="dxa"/>
            <w:shd w:val="clear" w:color="auto" w:fill="auto"/>
            <w:hideMark/>
          </w:tcPr>
          <w:p w14:paraId="1C4824C3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University policy does not mention any exceptions (and does not prohibit them), so the school approves exceptions to this regulation.</w:t>
            </w: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gramStart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 long as</w:t>
            </w:r>
            <w:proofErr w:type="gramEnd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exceptions are being granted on the university level, there are no barriers. The question can be discussed </w:t>
            </w:r>
            <w:proofErr w:type="gramStart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again</w:t>
            </w:r>
            <w:proofErr w:type="gramEnd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school regulations reviewed, in case the exceptions are not granted anymore.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6B71719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Ongoing</w:t>
            </w:r>
          </w:p>
        </w:tc>
        <w:tc>
          <w:tcPr>
            <w:tcW w:w="2520" w:type="dxa"/>
            <w:shd w:val="clear" w:color="auto" w:fill="auto"/>
            <w:hideMark/>
          </w:tcPr>
          <w:p w14:paraId="08FDCDC9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 committee does not have full information on the number of exceptions made and discussion may continue, once this information is shared by the relevant bodies.</w:t>
            </w:r>
          </w:p>
        </w:tc>
      </w:tr>
      <w:tr w:rsidR="00C01C94" w:rsidRPr="00C01C94" w14:paraId="5285C4F9" w14:textId="77777777" w:rsidTr="00C01C94">
        <w:trPr>
          <w:trHeight w:val="2250"/>
        </w:trPr>
        <w:tc>
          <w:tcPr>
            <w:tcW w:w="1497" w:type="dxa"/>
            <w:vMerge/>
            <w:hideMark/>
          </w:tcPr>
          <w:p w14:paraId="3961C2D3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9" w:type="dxa"/>
            <w:shd w:val="clear" w:color="auto" w:fill="auto"/>
            <w:hideMark/>
          </w:tcPr>
          <w:p w14:paraId="767BE800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2: May be called upon to consult on creating implementation plans privy to committee work as it related to the Strategic and Diversity Plans. </w:t>
            </w:r>
          </w:p>
        </w:tc>
        <w:tc>
          <w:tcPr>
            <w:tcW w:w="2644" w:type="dxa"/>
            <w:shd w:val="clear" w:color="auto" w:fill="auto"/>
            <w:noWrap/>
            <w:hideMark/>
          </w:tcPr>
          <w:p w14:paraId="0A802F8E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was not discussed</w:t>
            </w:r>
          </w:p>
        </w:tc>
        <w:tc>
          <w:tcPr>
            <w:tcW w:w="3150" w:type="dxa"/>
            <w:shd w:val="clear" w:color="auto" w:fill="auto"/>
            <w:hideMark/>
          </w:tcPr>
          <w:p w14:paraId="72AD0F42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42F4B6A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20" w:type="dxa"/>
            <w:shd w:val="clear" w:color="auto" w:fill="auto"/>
            <w:hideMark/>
          </w:tcPr>
          <w:p w14:paraId="556D05D6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01C94" w:rsidRPr="00C01C94" w14:paraId="69171F62" w14:textId="77777777" w:rsidTr="00C01C94">
        <w:trPr>
          <w:trHeight w:val="1140"/>
        </w:trPr>
        <w:tc>
          <w:tcPr>
            <w:tcW w:w="1497" w:type="dxa"/>
            <w:vMerge/>
            <w:hideMark/>
          </w:tcPr>
          <w:p w14:paraId="70E26350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9" w:type="dxa"/>
            <w:shd w:val="clear" w:color="auto" w:fill="auto"/>
            <w:noWrap/>
            <w:hideMark/>
          </w:tcPr>
          <w:p w14:paraId="3808F29E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2: Review impact of early priority funding deadline</w:t>
            </w:r>
          </w:p>
        </w:tc>
        <w:tc>
          <w:tcPr>
            <w:tcW w:w="2644" w:type="dxa"/>
            <w:shd w:val="clear" w:color="auto" w:fill="auto"/>
            <w:hideMark/>
          </w:tcPr>
          <w:p w14:paraId="4A50694B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committee </w:t>
            </w:r>
            <w:proofErr w:type="gramStart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has discussed</w:t>
            </w:r>
            <w:proofErr w:type="gramEnd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Policy Charge on March 25, 2024. The analysis of 2021-2024 years shows that </w:t>
            </w:r>
            <w:proofErr w:type="gramStart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 majority of</w:t>
            </w:r>
            <w:proofErr w:type="gramEnd"/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students are applying before the December 1 deadline across all graduate programs.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14:paraId="09E4508B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 barriers identified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6F2A65C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Ongoing, pending discussions with faculty.</w:t>
            </w:r>
          </w:p>
        </w:tc>
        <w:tc>
          <w:tcPr>
            <w:tcW w:w="2520" w:type="dxa"/>
            <w:shd w:val="clear" w:color="auto" w:fill="auto"/>
            <w:hideMark/>
          </w:tcPr>
          <w:p w14:paraId="75E4E44C" w14:textId="77777777" w:rsidR="00C01C94" w:rsidRPr="00C01C94" w:rsidRDefault="00C01C94" w:rsidP="00C0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01C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This issue can be discussed with faculty, if the school leadership thinks that there is a need to move the deadline to November. Potentially, the departmental SAA (Student Academic Appointments) could be finalized earlier.</w:t>
            </w:r>
          </w:p>
        </w:tc>
      </w:tr>
    </w:tbl>
    <w:p w14:paraId="5A0F6146" w14:textId="77777777" w:rsidR="00986C9F" w:rsidRDefault="00986C9F"/>
    <w:sectPr w:rsidR="00986C9F" w:rsidSect="00907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0"/>
    <w:rsid w:val="00302B88"/>
    <w:rsid w:val="00372AD0"/>
    <w:rsid w:val="0045102D"/>
    <w:rsid w:val="009076D3"/>
    <w:rsid w:val="00986C9F"/>
    <w:rsid w:val="009F668F"/>
    <w:rsid w:val="00A549B1"/>
    <w:rsid w:val="00AA1B83"/>
    <w:rsid w:val="00C01C94"/>
    <w:rsid w:val="00E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B277"/>
  <w15:chartTrackingRefBased/>
  <w15:docId w15:val="{36EAB4D8-563B-45D4-87EB-D624C9F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Chandler Kris</dc:creator>
  <cp:keywords/>
  <dc:description/>
  <cp:lastModifiedBy>Hawkins, Chandler Kris</cp:lastModifiedBy>
  <cp:revision>2</cp:revision>
  <dcterms:created xsi:type="dcterms:W3CDTF">2024-05-02T19:38:00Z</dcterms:created>
  <dcterms:modified xsi:type="dcterms:W3CDTF">2024-05-02T19:38:00Z</dcterms:modified>
</cp:coreProperties>
</file>