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7"/>
        <w:gridCol w:w="2590"/>
        <w:gridCol w:w="3740"/>
        <w:gridCol w:w="1268"/>
        <w:gridCol w:w="1162"/>
        <w:gridCol w:w="2916"/>
      </w:tblGrid>
      <w:tr>
        <w:trPr>
          <w:trHeight w:val="719" w:hRule="atLeast"/>
        </w:trPr>
        <w:tc>
          <w:tcPr>
            <w:tcW w:w="1277" w:type="dxa"/>
          </w:tcPr>
          <w:p>
            <w:pPr>
              <w:pStyle w:val="TableParagraph"/>
              <w:spacing w:before="15"/>
              <w:rPr>
                <w:sz w:val="20"/>
              </w:rPr>
            </w:pPr>
          </w:p>
          <w:p>
            <w:pPr>
              <w:pStyle w:val="TableParagraph"/>
              <w:ind w:left="194"/>
              <w:rPr>
                <w:sz w:val="20"/>
              </w:rPr>
            </w:pPr>
            <w:r>
              <w:rPr>
                <w:spacing w:val="-2"/>
                <w:sz w:val="20"/>
              </w:rPr>
              <w:t>Committee</w:t>
            </w:r>
          </w:p>
        </w:tc>
        <w:tc>
          <w:tcPr>
            <w:tcW w:w="2590" w:type="dxa"/>
          </w:tcPr>
          <w:p>
            <w:pPr>
              <w:pStyle w:val="TableParagraph"/>
              <w:spacing w:before="15"/>
              <w:rPr>
                <w:sz w:val="20"/>
              </w:rPr>
            </w:pPr>
          </w:p>
          <w:p>
            <w:pPr>
              <w:pStyle w:val="TableParagraph"/>
              <w:ind w:left="9"/>
              <w:jc w:val="center"/>
              <w:rPr>
                <w:sz w:val="20"/>
              </w:rPr>
            </w:pPr>
            <w:r>
              <w:rPr>
                <w:spacing w:val="-2"/>
                <w:sz w:val="20"/>
              </w:rPr>
              <w:t>Charges</w:t>
            </w:r>
          </w:p>
        </w:tc>
        <w:tc>
          <w:tcPr>
            <w:tcW w:w="3740" w:type="dxa"/>
          </w:tcPr>
          <w:p>
            <w:pPr>
              <w:pStyle w:val="TableParagraph"/>
              <w:spacing w:before="15"/>
              <w:rPr>
                <w:sz w:val="20"/>
              </w:rPr>
            </w:pPr>
          </w:p>
          <w:p>
            <w:pPr>
              <w:pStyle w:val="TableParagraph"/>
              <w:ind w:left="5"/>
              <w:jc w:val="center"/>
              <w:rPr>
                <w:sz w:val="20"/>
              </w:rPr>
            </w:pPr>
            <w:r>
              <w:rPr>
                <w:spacing w:val="-2"/>
                <w:sz w:val="20"/>
              </w:rPr>
              <w:t>Progress</w:t>
            </w:r>
          </w:p>
        </w:tc>
        <w:tc>
          <w:tcPr>
            <w:tcW w:w="1268" w:type="dxa"/>
          </w:tcPr>
          <w:p>
            <w:pPr>
              <w:pStyle w:val="TableParagraph"/>
              <w:spacing w:before="130"/>
              <w:ind w:left="488" w:right="187" w:hanging="291"/>
              <w:rPr>
                <w:sz w:val="20"/>
              </w:rPr>
            </w:pPr>
            <w:r>
              <w:rPr>
                <w:sz w:val="20"/>
              </w:rPr>
              <w:t>Barriers,</w:t>
            </w:r>
            <w:r>
              <w:rPr>
                <w:spacing w:val="-13"/>
                <w:sz w:val="20"/>
              </w:rPr>
              <w:t> </w:t>
            </w:r>
            <w:r>
              <w:rPr>
                <w:sz w:val="20"/>
              </w:rPr>
              <w:t>if </w:t>
            </w:r>
            <w:r>
              <w:rPr>
                <w:spacing w:val="-4"/>
                <w:sz w:val="20"/>
              </w:rPr>
              <w:t>any</w:t>
            </w:r>
          </w:p>
        </w:tc>
        <w:tc>
          <w:tcPr>
            <w:tcW w:w="1162" w:type="dxa"/>
          </w:tcPr>
          <w:p>
            <w:pPr>
              <w:pStyle w:val="TableParagraph"/>
              <w:spacing w:line="230" w:lineRule="atLeast" w:before="9"/>
              <w:ind w:left="105" w:right="98" w:hanging="4"/>
              <w:jc w:val="center"/>
              <w:rPr>
                <w:sz w:val="20"/>
              </w:rPr>
            </w:pPr>
            <w:r>
              <w:rPr>
                <w:spacing w:val="-2"/>
                <w:sz w:val="20"/>
              </w:rPr>
              <w:t>Estimated Completion </w:t>
            </w:r>
            <w:r>
              <w:rPr>
                <w:spacing w:val="-4"/>
                <w:sz w:val="20"/>
              </w:rPr>
              <w:t>Date</w:t>
            </w:r>
          </w:p>
        </w:tc>
        <w:tc>
          <w:tcPr>
            <w:tcW w:w="2916" w:type="dxa"/>
          </w:tcPr>
          <w:p>
            <w:pPr>
              <w:pStyle w:val="TableParagraph"/>
              <w:spacing w:before="15"/>
              <w:rPr>
                <w:sz w:val="20"/>
              </w:rPr>
            </w:pPr>
          </w:p>
          <w:p>
            <w:pPr>
              <w:pStyle w:val="TableParagraph"/>
              <w:ind w:left="765"/>
              <w:rPr>
                <w:sz w:val="20"/>
              </w:rPr>
            </w:pPr>
            <w:r>
              <w:rPr>
                <w:sz w:val="20"/>
              </w:rPr>
              <w:t>Additional</w:t>
            </w:r>
            <w:r>
              <w:rPr>
                <w:spacing w:val="-8"/>
                <w:sz w:val="20"/>
              </w:rPr>
              <w:t> </w:t>
            </w:r>
            <w:r>
              <w:rPr>
                <w:spacing w:val="-2"/>
                <w:sz w:val="20"/>
              </w:rPr>
              <w:t>Notes</w:t>
            </w:r>
          </w:p>
        </w:tc>
      </w:tr>
      <w:tr>
        <w:trPr>
          <w:trHeight w:val="2330" w:hRule="atLeast"/>
        </w:trPr>
        <w:tc>
          <w:tcPr>
            <w:tcW w:w="1277"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5"/>
              <w:rPr>
                <w:sz w:val="20"/>
              </w:rPr>
            </w:pPr>
          </w:p>
          <w:p>
            <w:pPr>
              <w:pStyle w:val="TableParagraph"/>
              <w:ind w:left="158" w:right="149" w:firstLine="2"/>
              <w:jc w:val="center"/>
              <w:rPr>
                <w:sz w:val="20"/>
              </w:rPr>
            </w:pPr>
            <w:r>
              <w:rPr>
                <w:spacing w:val="-2"/>
                <w:sz w:val="20"/>
              </w:rPr>
              <w:t>Learning </w:t>
            </w:r>
            <w:r>
              <w:rPr>
                <w:spacing w:val="-4"/>
                <w:sz w:val="20"/>
              </w:rPr>
              <w:t>and </w:t>
            </w:r>
            <w:r>
              <w:rPr>
                <w:spacing w:val="-2"/>
                <w:sz w:val="20"/>
              </w:rPr>
              <w:t>Teaching </w:t>
            </w:r>
            <w:r>
              <w:rPr>
                <w:spacing w:val="-4"/>
                <w:sz w:val="20"/>
              </w:rPr>
              <w:t>with </w:t>
            </w:r>
            <w:r>
              <w:rPr>
                <w:spacing w:val="-2"/>
                <w:sz w:val="20"/>
              </w:rPr>
              <w:t>Technology (LTT)</w:t>
            </w:r>
          </w:p>
        </w:tc>
        <w:tc>
          <w:tcPr>
            <w:tcW w:w="2590" w:type="dxa"/>
          </w:tcPr>
          <w:p>
            <w:pPr>
              <w:pStyle w:val="TableParagraph"/>
              <w:spacing w:before="14"/>
              <w:ind w:left="107" w:right="136"/>
              <w:rPr>
                <w:sz w:val="20"/>
              </w:rPr>
            </w:pPr>
            <w:r>
              <w:rPr>
                <w:sz w:val="20"/>
              </w:rPr>
              <w:t>Charge 1: Continue to promote</w:t>
            </w:r>
            <w:r>
              <w:rPr>
                <w:spacing w:val="-13"/>
                <w:sz w:val="20"/>
              </w:rPr>
              <w:t> </w:t>
            </w:r>
            <w:r>
              <w:rPr>
                <w:sz w:val="20"/>
              </w:rPr>
              <w:t>faculty</w:t>
            </w:r>
            <w:r>
              <w:rPr>
                <w:spacing w:val="-11"/>
                <w:sz w:val="20"/>
              </w:rPr>
              <w:t> </w:t>
            </w:r>
            <w:r>
              <w:rPr>
                <w:sz w:val="20"/>
              </w:rPr>
              <w:t>training</w:t>
            </w:r>
            <w:r>
              <w:rPr>
                <w:spacing w:val="-11"/>
                <w:sz w:val="20"/>
              </w:rPr>
              <w:t> </w:t>
            </w:r>
            <w:r>
              <w:rPr>
                <w:sz w:val="20"/>
              </w:rPr>
              <w:t>in emerging teaching and learning technologies</w:t>
            </w:r>
          </w:p>
        </w:tc>
        <w:tc>
          <w:tcPr>
            <w:tcW w:w="3740" w:type="dxa"/>
          </w:tcPr>
          <w:p>
            <w:pPr>
              <w:pStyle w:val="TableParagraph"/>
              <w:spacing w:before="14"/>
              <w:ind w:left="104" w:right="151"/>
              <w:rPr>
                <w:sz w:val="20"/>
              </w:rPr>
            </w:pPr>
            <w:r>
              <w:rPr>
                <w:sz w:val="20"/>
              </w:rPr>
              <w:t>Completed. Three tech training sessions were offered in January, three</w:t>
            </w:r>
            <w:r>
              <w:rPr>
                <w:spacing w:val="-1"/>
                <w:sz w:val="20"/>
              </w:rPr>
              <w:t> </w:t>
            </w:r>
            <w:r>
              <w:rPr>
                <w:sz w:val="20"/>
              </w:rPr>
              <w:t>in February, and 2 more will occur in April. The March session was canceled. Attendance was the highest on the Faculty Town Hall: ChatGPT and AI in Higher Education on January 26 with 247 registered and 122 attending. The other sessions on Zoom,</w:t>
            </w:r>
          </w:p>
          <w:p>
            <w:pPr>
              <w:pStyle w:val="TableParagraph"/>
              <w:spacing w:line="230" w:lineRule="atLeast"/>
              <w:ind w:left="104" w:right="151"/>
              <w:rPr>
                <w:sz w:val="20"/>
              </w:rPr>
            </w:pPr>
            <w:r>
              <w:rPr>
                <w:sz w:val="20"/>
              </w:rPr>
              <w:t>PlayPosit,</w:t>
            </w:r>
            <w:r>
              <w:rPr>
                <w:spacing w:val="-8"/>
                <w:sz w:val="20"/>
              </w:rPr>
              <w:t> </w:t>
            </w:r>
            <w:r>
              <w:rPr>
                <w:sz w:val="20"/>
              </w:rPr>
              <w:t>eTexts,</w:t>
            </w:r>
            <w:r>
              <w:rPr>
                <w:spacing w:val="-8"/>
                <w:sz w:val="20"/>
              </w:rPr>
              <w:t> </w:t>
            </w:r>
            <w:r>
              <w:rPr>
                <w:sz w:val="20"/>
              </w:rPr>
              <w:t>TopHat,</w:t>
            </w:r>
            <w:r>
              <w:rPr>
                <w:spacing w:val="-8"/>
                <w:sz w:val="20"/>
              </w:rPr>
              <w:t> </w:t>
            </w:r>
            <w:r>
              <w:rPr>
                <w:sz w:val="20"/>
              </w:rPr>
              <w:t>etc.,</w:t>
            </w:r>
            <w:r>
              <w:rPr>
                <w:spacing w:val="-8"/>
                <w:sz w:val="20"/>
              </w:rPr>
              <w:t> </w:t>
            </w:r>
            <w:r>
              <w:rPr>
                <w:sz w:val="20"/>
              </w:rPr>
              <w:t>were</w:t>
            </w:r>
            <w:r>
              <w:rPr>
                <w:spacing w:val="-8"/>
                <w:sz w:val="20"/>
              </w:rPr>
              <w:t> </w:t>
            </w:r>
            <w:r>
              <w:rPr>
                <w:sz w:val="20"/>
              </w:rPr>
              <w:t>much smaller with 5 to 30 people.</w:t>
            </w:r>
          </w:p>
        </w:tc>
        <w:tc>
          <w:tcPr>
            <w:tcW w:w="1268" w:type="dxa"/>
          </w:tcPr>
          <w:p>
            <w:pPr>
              <w:pStyle w:val="TableParagraph"/>
              <w:spacing w:before="14"/>
              <w:ind w:left="106" w:right="108"/>
              <w:rPr>
                <w:sz w:val="20"/>
              </w:rPr>
            </w:pPr>
            <w:r>
              <w:rPr>
                <w:spacing w:val="-2"/>
                <w:sz w:val="20"/>
              </w:rPr>
              <w:t>Determining which </w:t>
            </w:r>
            <w:r>
              <w:rPr>
                <w:sz w:val="20"/>
              </w:rPr>
              <w:t>aspects of</w:t>
            </w:r>
            <w:r>
              <w:rPr>
                <w:spacing w:val="40"/>
                <w:sz w:val="20"/>
              </w:rPr>
              <w:t> </w:t>
            </w:r>
            <w:r>
              <w:rPr>
                <w:sz w:val="20"/>
              </w:rPr>
              <w:t>AI to focus on</w:t>
            </w:r>
            <w:r>
              <w:rPr>
                <w:spacing w:val="-13"/>
                <w:sz w:val="20"/>
              </w:rPr>
              <w:t> </w:t>
            </w:r>
            <w:r>
              <w:rPr>
                <w:sz w:val="20"/>
              </w:rPr>
              <w:t>next</w:t>
            </w:r>
            <w:r>
              <w:rPr>
                <w:spacing w:val="-12"/>
                <w:sz w:val="20"/>
              </w:rPr>
              <w:t> </w:t>
            </w:r>
            <w:r>
              <w:rPr>
                <w:sz w:val="20"/>
              </w:rPr>
              <w:t>year.</w:t>
            </w:r>
          </w:p>
        </w:tc>
        <w:tc>
          <w:tcPr>
            <w:tcW w:w="1162" w:type="dxa"/>
          </w:tcPr>
          <w:p>
            <w:pPr>
              <w:pStyle w:val="TableParagraph"/>
              <w:spacing w:before="14"/>
              <w:ind w:left="105"/>
              <w:rPr>
                <w:sz w:val="20"/>
              </w:rPr>
            </w:pPr>
            <w:r>
              <w:rPr>
                <w:spacing w:val="-2"/>
                <w:sz w:val="20"/>
              </w:rPr>
              <w:t>Ongoing</w:t>
            </w:r>
          </w:p>
        </w:tc>
        <w:tc>
          <w:tcPr>
            <w:tcW w:w="2916" w:type="dxa"/>
          </w:tcPr>
          <w:p>
            <w:pPr>
              <w:pStyle w:val="TableParagraph"/>
              <w:spacing w:before="14"/>
              <w:ind w:left="102" w:right="119"/>
              <w:rPr>
                <w:sz w:val="20"/>
              </w:rPr>
            </w:pPr>
            <w:r>
              <w:rPr>
                <w:sz w:val="20"/>
              </w:rPr>
              <w:t>To continue partnership with UITS</w:t>
            </w:r>
            <w:r>
              <w:rPr>
                <w:spacing w:val="-8"/>
                <w:sz w:val="20"/>
              </w:rPr>
              <w:t> </w:t>
            </w:r>
            <w:r>
              <w:rPr>
                <w:sz w:val="20"/>
              </w:rPr>
              <w:t>to</w:t>
            </w:r>
            <w:r>
              <w:rPr>
                <w:spacing w:val="-7"/>
                <w:sz w:val="20"/>
              </w:rPr>
              <w:t> </w:t>
            </w:r>
            <w:r>
              <w:rPr>
                <w:sz w:val="20"/>
              </w:rPr>
              <w:t>offer</w:t>
            </w:r>
            <w:r>
              <w:rPr>
                <w:spacing w:val="-10"/>
                <w:sz w:val="20"/>
              </w:rPr>
              <w:t> </w:t>
            </w:r>
            <w:r>
              <w:rPr>
                <w:sz w:val="20"/>
              </w:rPr>
              <w:t>sessions</w:t>
            </w:r>
            <w:r>
              <w:rPr>
                <w:spacing w:val="-9"/>
                <w:sz w:val="20"/>
              </w:rPr>
              <w:t> </w:t>
            </w:r>
            <w:r>
              <w:rPr>
                <w:sz w:val="20"/>
              </w:rPr>
              <w:t>for</w:t>
            </w:r>
            <w:r>
              <w:rPr>
                <w:spacing w:val="-7"/>
                <w:sz w:val="20"/>
              </w:rPr>
              <w:t> </w:t>
            </w:r>
            <w:r>
              <w:rPr>
                <w:sz w:val="20"/>
              </w:rPr>
              <w:t>faculty on Generative AI. In effect, we need to offer sessions to encourage best practices in Generative AI. The key thing is to show how an innovative technology will benefit faculty (save time, enhance quality,</w:t>
            </w:r>
            <w:r>
              <w:rPr>
                <w:spacing w:val="-1"/>
                <w:sz w:val="20"/>
              </w:rPr>
              <w:t> </w:t>
            </w:r>
            <w:r>
              <w:rPr>
                <w:sz w:val="20"/>
              </w:rPr>
              <w:t>etc.)</w:t>
            </w:r>
          </w:p>
        </w:tc>
      </w:tr>
      <w:tr>
        <w:trPr>
          <w:trHeight w:val="2560" w:hRule="atLeast"/>
        </w:trPr>
        <w:tc>
          <w:tcPr>
            <w:tcW w:w="1277" w:type="dxa"/>
            <w:vMerge/>
            <w:tcBorders>
              <w:top w:val="nil"/>
            </w:tcBorders>
          </w:tcPr>
          <w:p>
            <w:pPr>
              <w:rPr>
                <w:sz w:val="2"/>
                <w:szCs w:val="2"/>
              </w:rPr>
            </w:pPr>
          </w:p>
        </w:tc>
        <w:tc>
          <w:tcPr>
            <w:tcW w:w="2590" w:type="dxa"/>
          </w:tcPr>
          <w:p>
            <w:pPr>
              <w:pStyle w:val="TableParagraph"/>
              <w:spacing w:before="14"/>
              <w:ind w:left="107" w:right="136"/>
              <w:rPr>
                <w:sz w:val="20"/>
              </w:rPr>
            </w:pPr>
            <w:r>
              <w:rPr>
                <w:sz w:val="20"/>
              </w:rPr>
              <w:t>Charge 2: Have UITS do a presentation on active learning spaces on the IU Bloomington and IUPUI campuses, followed by a training</w:t>
            </w:r>
            <w:r>
              <w:rPr>
                <w:spacing w:val="-12"/>
                <w:sz w:val="20"/>
              </w:rPr>
              <w:t> </w:t>
            </w:r>
            <w:r>
              <w:rPr>
                <w:sz w:val="20"/>
              </w:rPr>
              <w:t>programs</w:t>
            </w:r>
            <w:r>
              <w:rPr>
                <w:spacing w:val="-12"/>
                <w:sz w:val="20"/>
              </w:rPr>
              <w:t> </w:t>
            </w:r>
            <w:r>
              <w:rPr>
                <w:sz w:val="20"/>
              </w:rPr>
              <w:t>for</w:t>
            </w:r>
            <w:r>
              <w:rPr>
                <w:spacing w:val="-13"/>
                <w:sz w:val="20"/>
              </w:rPr>
              <w:t> </w:t>
            </w:r>
            <w:r>
              <w:rPr>
                <w:sz w:val="20"/>
              </w:rPr>
              <w:t>faculty members</w:t>
            </w:r>
            <w:r>
              <w:rPr>
                <w:spacing w:val="-8"/>
                <w:sz w:val="20"/>
              </w:rPr>
              <w:t> </w:t>
            </w:r>
            <w:r>
              <w:rPr>
                <w:sz w:val="20"/>
              </w:rPr>
              <w:t>on</w:t>
            </w:r>
            <w:r>
              <w:rPr>
                <w:spacing w:val="-8"/>
                <w:sz w:val="20"/>
              </w:rPr>
              <w:t> </w:t>
            </w:r>
            <w:r>
              <w:rPr>
                <w:sz w:val="20"/>
              </w:rPr>
              <w:t>how</w:t>
            </w:r>
            <w:r>
              <w:rPr>
                <w:spacing w:val="-7"/>
                <w:sz w:val="20"/>
              </w:rPr>
              <w:t> </w:t>
            </w:r>
            <w:r>
              <w:rPr>
                <w:sz w:val="20"/>
              </w:rPr>
              <w:t>to</w:t>
            </w:r>
            <w:r>
              <w:rPr>
                <w:spacing w:val="-8"/>
                <w:sz w:val="20"/>
              </w:rPr>
              <w:t> </w:t>
            </w:r>
            <w:r>
              <w:rPr>
                <w:sz w:val="20"/>
              </w:rPr>
              <w:t>use</w:t>
            </w:r>
            <w:r>
              <w:rPr>
                <w:spacing w:val="-7"/>
                <w:sz w:val="20"/>
              </w:rPr>
              <w:t> </w:t>
            </w:r>
            <w:r>
              <w:rPr>
                <w:sz w:val="20"/>
              </w:rPr>
              <w:t>such spaces. This training will align with the new SLIDE</w:t>
            </w:r>
          </w:p>
          <w:p>
            <w:pPr>
              <w:pStyle w:val="TableParagraph"/>
              <w:spacing w:line="230" w:lineRule="atLeast"/>
              <w:ind w:left="107" w:right="200"/>
              <w:rPr>
                <w:sz w:val="20"/>
              </w:rPr>
            </w:pPr>
            <w:r>
              <w:rPr>
                <w:sz w:val="20"/>
              </w:rPr>
              <w:t>classroom</w:t>
            </w:r>
            <w:r>
              <w:rPr>
                <w:spacing w:val="-10"/>
                <w:sz w:val="20"/>
              </w:rPr>
              <w:t> </w:t>
            </w:r>
            <w:r>
              <w:rPr>
                <w:sz w:val="20"/>
              </w:rPr>
              <w:t>set</w:t>
            </w:r>
            <w:r>
              <w:rPr>
                <w:spacing w:val="-10"/>
                <w:sz w:val="20"/>
              </w:rPr>
              <w:t> </w:t>
            </w:r>
            <w:r>
              <w:rPr>
                <w:sz w:val="20"/>
              </w:rPr>
              <w:t>to</w:t>
            </w:r>
            <w:r>
              <w:rPr>
                <w:spacing w:val="-10"/>
                <w:sz w:val="20"/>
              </w:rPr>
              <w:t> </w:t>
            </w:r>
            <w:r>
              <w:rPr>
                <w:sz w:val="20"/>
              </w:rPr>
              <w:t>open</w:t>
            </w:r>
            <w:r>
              <w:rPr>
                <w:spacing w:val="-10"/>
                <w:sz w:val="20"/>
              </w:rPr>
              <w:t> </w:t>
            </w:r>
            <w:r>
              <w:rPr>
                <w:sz w:val="20"/>
              </w:rPr>
              <w:t>in early 2023</w:t>
            </w:r>
          </w:p>
        </w:tc>
        <w:tc>
          <w:tcPr>
            <w:tcW w:w="3740" w:type="dxa"/>
          </w:tcPr>
          <w:p>
            <w:pPr>
              <w:pStyle w:val="TableParagraph"/>
              <w:spacing w:before="14"/>
              <w:ind w:left="104" w:right="102"/>
              <w:rPr>
                <w:sz w:val="20"/>
              </w:rPr>
            </w:pPr>
            <w:r>
              <w:rPr>
                <w:sz w:val="20"/>
              </w:rPr>
              <w:t>We were waiting for the library renovation to be completed before</w:t>
            </w:r>
            <w:r>
              <w:rPr>
                <w:spacing w:val="-2"/>
                <w:sz w:val="20"/>
              </w:rPr>
              <w:t> </w:t>
            </w:r>
            <w:r>
              <w:rPr>
                <w:sz w:val="20"/>
              </w:rPr>
              <w:t>offering such active learning training in the new experimental classroom (Room 1004 (the SLIDE) and 1006 (the Porch). It will be scheduled for the fall semester. Michele Kelmer from UITS</w:t>
            </w:r>
            <w:r>
              <w:rPr>
                <w:spacing w:val="-5"/>
                <w:sz w:val="20"/>
              </w:rPr>
              <w:t> </w:t>
            </w:r>
            <w:r>
              <w:rPr>
                <w:sz w:val="20"/>
              </w:rPr>
              <w:t>has</w:t>
            </w:r>
            <w:r>
              <w:rPr>
                <w:spacing w:val="-6"/>
                <w:sz w:val="20"/>
              </w:rPr>
              <w:t> </w:t>
            </w:r>
            <w:r>
              <w:rPr>
                <w:sz w:val="20"/>
              </w:rPr>
              <w:t>agreed</w:t>
            </w:r>
            <w:r>
              <w:rPr>
                <w:spacing w:val="-4"/>
                <w:sz w:val="20"/>
              </w:rPr>
              <w:t> </w:t>
            </w:r>
            <w:r>
              <w:rPr>
                <w:sz w:val="20"/>
              </w:rPr>
              <w:t>to</w:t>
            </w:r>
            <w:r>
              <w:rPr>
                <w:spacing w:val="-6"/>
                <w:sz w:val="20"/>
              </w:rPr>
              <w:t> </w:t>
            </w:r>
            <w:r>
              <w:rPr>
                <w:sz w:val="20"/>
              </w:rPr>
              <w:t>have</w:t>
            </w:r>
            <w:r>
              <w:rPr>
                <w:spacing w:val="-5"/>
                <w:sz w:val="20"/>
              </w:rPr>
              <w:t> </w:t>
            </w:r>
            <w:r>
              <w:rPr>
                <w:sz w:val="20"/>
              </w:rPr>
              <w:t>the</w:t>
            </w:r>
            <w:r>
              <w:rPr>
                <w:spacing w:val="-7"/>
                <w:sz w:val="20"/>
              </w:rPr>
              <w:t> </w:t>
            </w:r>
            <w:r>
              <w:rPr>
                <w:sz w:val="20"/>
              </w:rPr>
              <w:t>Mosaic</w:t>
            </w:r>
            <w:r>
              <w:rPr>
                <w:spacing w:val="-5"/>
                <w:sz w:val="20"/>
              </w:rPr>
              <w:t> </w:t>
            </w:r>
            <w:r>
              <w:rPr>
                <w:sz w:val="20"/>
              </w:rPr>
              <w:t>project people offer such training in the fall.</w:t>
            </w:r>
          </w:p>
        </w:tc>
        <w:tc>
          <w:tcPr>
            <w:tcW w:w="1268" w:type="dxa"/>
          </w:tcPr>
          <w:p>
            <w:pPr>
              <w:pStyle w:val="TableParagraph"/>
              <w:rPr>
                <w:sz w:val="18"/>
              </w:rPr>
            </w:pPr>
          </w:p>
        </w:tc>
        <w:tc>
          <w:tcPr>
            <w:tcW w:w="1162" w:type="dxa"/>
          </w:tcPr>
          <w:p>
            <w:pPr>
              <w:pStyle w:val="TableParagraph"/>
              <w:spacing w:before="14"/>
              <w:ind w:left="105"/>
              <w:rPr>
                <w:sz w:val="20"/>
              </w:rPr>
            </w:pPr>
            <w:r>
              <w:rPr>
                <w:sz w:val="20"/>
              </w:rPr>
              <w:t>Fall</w:t>
            </w:r>
            <w:r>
              <w:rPr>
                <w:spacing w:val="-6"/>
                <w:sz w:val="20"/>
              </w:rPr>
              <w:t> </w:t>
            </w:r>
            <w:r>
              <w:rPr>
                <w:spacing w:val="-4"/>
                <w:sz w:val="20"/>
              </w:rPr>
              <w:t>2023</w:t>
            </w:r>
          </w:p>
        </w:tc>
        <w:tc>
          <w:tcPr>
            <w:tcW w:w="2916" w:type="dxa"/>
          </w:tcPr>
          <w:p>
            <w:pPr>
              <w:pStyle w:val="TableParagraph"/>
              <w:rPr>
                <w:sz w:val="18"/>
              </w:rPr>
            </w:pPr>
          </w:p>
        </w:tc>
      </w:tr>
      <w:tr>
        <w:trPr>
          <w:trHeight w:val="950" w:hRule="atLeast"/>
        </w:trPr>
        <w:tc>
          <w:tcPr>
            <w:tcW w:w="1277" w:type="dxa"/>
            <w:vMerge/>
            <w:tcBorders>
              <w:top w:val="nil"/>
            </w:tcBorders>
          </w:tcPr>
          <w:p>
            <w:pPr>
              <w:rPr>
                <w:sz w:val="2"/>
                <w:szCs w:val="2"/>
              </w:rPr>
            </w:pPr>
          </w:p>
        </w:tc>
        <w:tc>
          <w:tcPr>
            <w:tcW w:w="2590" w:type="dxa"/>
          </w:tcPr>
          <w:p>
            <w:pPr>
              <w:pStyle w:val="TableParagraph"/>
              <w:spacing w:line="230" w:lineRule="atLeast" w:before="10"/>
              <w:ind w:left="107" w:right="136"/>
              <w:rPr>
                <w:sz w:val="20"/>
              </w:rPr>
            </w:pPr>
            <w:r>
              <w:rPr>
                <w:sz w:val="20"/>
              </w:rPr>
              <w:t>Charge 3: Partner with other campus</w:t>
            </w:r>
            <w:r>
              <w:rPr>
                <w:spacing w:val="-13"/>
                <w:sz w:val="20"/>
              </w:rPr>
              <w:t> </w:t>
            </w:r>
            <w:r>
              <w:rPr>
                <w:sz w:val="20"/>
              </w:rPr>
              <w:t>resources</w:t>
            </w:r>
            <w:r>
              <w:rPr>
                <w:spacing w:val="-12"/>
                <w:sz w:val="20"/>
              </w:rPr>
              <w:t> </w:t>
            </w:r>
            <w:r>
              <w:rPr>
                <w:sz w:val="20"/>
              </w:rPr>
              <w:t>to</w:t>
            </w:r>
            <w:r>
              <w:rPr>
                <w:spacing w:val="-11"/>
                <w:sz w:val="20"/>
              </w:rPr>
              <w:t> </w:t>
            </w:r>
            <w:r>
              <w:rPr>
                <w:sz w:val="20"/>
              </w:rPr>
              <w:t>increase visibility of SOE technological advancements</w:t>
            </w:r>
          </w:p>
        </w:tc>
        <w:tc>
          <w:tcPr>
            <w:tcW w:w="3740" w:type="dxa"/>
          </w:tcPr>
          <w:p>
            <w:pPr>
              <w:pStyle w:val="TableParagraph"/>
              <w:spacing w:line="230" w:lineRule="atLeast" w:before="10"/>
              <w:ind w:left="104" w:right="102"/>
              <w:rPr>
                <w:sz w:val="20"/>
              </w:rPr>
            </w:pPr>
            <w:r>
              <w:rPr>
                <w:sz w:val="20"/>
              </w:rPr>
              <w:t>We partnered with UITS once again this year</w:t>
            </w:r>
            <w:r>
              <w:rPr>
                <w:spacing w:val="-2"/>
                <w:sz w:val="20"/>
              </w:rPr>
              <w:t> </w:t>
            </w:r>
            <w:r>
              <w:rPr>
                <w:sz w:val="20"/>
              </w:rPr>
              <w:t>to</w:t>
            </w:r>
            <w:r>
              <w:rPr>
                <w:spacing w:val="-2"/>
                <w:sz w:val="20"/>
              </w:rPr>
              <w:t> </w:t>
            </w:r>
            <w:r>
              <w:rPr>
                <w:sz w:val="20"/>
              </w:rPr>
              <w:t>offer</w:t>
            </w:r>
            <w:r>
              <w:rPr>
                <w:spacing w:val="-2"/>
                <w:sz w:val="20"/>
              </w:rPr>
              <w:t> </w:t>
            </w:r>
            <w:r>
              <w:rPr>
                <w:sz w:val="20"/>
              </w:rPr>
              <w:t>a</w:t>
            </w:r>
            <w:r>
              <w:rPr>
                <w:spacing w:val="-4"/>
                <w:sz w:val="20"/>
              </w:rPr>
              <w:t> </w:t>
            </w:r>
            <w:r>
              <w:rPr>
                <w:sz w:val="20"/>
              </w:rPr>
              <w:t>series</w:t>
            </w:r>
            <w:r>
              <w:rPr>
                <w:spacing w:val="-3"/>
                <w:sz w:val="20"/>
              </w:rPr>
              <w:t> </w:t>
            </w:r>
            <w:r>
              <w:rPr>
                <w:sz w:val="20"/>
              </w:rPr>
              <w:t>of</w:t>
            </w:r>
            <w:r>
              <w:rPr>
                <w:spacing w:val="-2"/>
                <w:sz w:val="20"/>
              </w:rPr>
              <w:t> </w:t>
            </w:r>
            <w:r>
              <w:rPr>
                <w:sz w:val="20"/>
              </w:rPr>
              <w:t>technology</w:t>
            </w:r>
            <w:r>
              <w:rPr>
                <w:spacing w:val="-2"/>
                <w:sz w:val="20"/>
              </w:rPr>
              <w:t> </w:t>
            </w:r>
            <w:r>
              <w:rPr>
                <w:sz w:val="20"/>
              </w:rPr>
              <w:t>training workshops</w:t>
            </w:r>
            <w:r>
              <w:rPr>
                <w:spacing w:val="-8"/>
                <w:sz w:val="20"/>
              </w:rPr>
              <w:t> </w:t>
            </w:r>
            <w:r>
              <w:rPr>
                <w:sz w:val="20"/>
              </w:rPr>
              <w:t>and</w:t>
            </w:r>
            <w:r>
              <w:rPr>
                <w:spacing w:val="-6"/>
                <w:sz w:val="20"/>
              </w:rPr>
              <w:t> </w:t>
            </w:r>
            <w:r>
              <w:rPr>
                <w:sz w:val="20"/>
              </w:rPr>
              <w:t>made</w:t>
            </w:r>
            <w:r>
              <w:rPr>
                <w:spacing w:val="-9"/>
                <w:sz w:val="20"/>
              </w:rPr>
              <w:t> </w:t>
            </w:r>
            <w:r>
              <w:rPr>
                <w:sz w:val="20"/>
              </w:rPr>
              <w:t>Michele</w:t>
            </w:r>
            <w:r>
              <w:rPr>
                <w:spacing w:val="-9"/>
                <w:sz w:val="20"/>
              </w:rPr>
              <w:t> </w:t>
            </w:r>
            <w:r>
              <w:rPr>
                <w:sz w:val="20"/>
              </w:rPr>
              <w:t>Kelmer</w:t>
            </w:r>
            <w:r>
              <w:rPr>
                <w:spacing w:val="-6"/>
                <w:sz w:val="20"/>
              </w:rPr>
              <w:t> </w:t>
            </w:r>
            <w:r>
              <w:rPr>
                <w:sz w:val="20"/>
              </w:rPr>
              <w:t>from UITS an ex-officio member.</w:t>
            </w:r>
          </w:p>
        </w:tc>
        <w:tc>
          <w:tcPr>
            <w:tcW w:w="1268" w:type="dxa"/>
          </w:tcPr>
          <w:p>
            <w:pPr>
              <w:pStyle w:val="TableParagraph"/>
              <w:rPr>
                <w:sz w:val="18"/>
              </w:rPr>
            </w:pPr>
          </w:p>
        </w:tc>
        <w:tc>
          <w:tcPr>
            <w:tcW w:w="1162" w:type="dxa"/>
          </w:tcPr>
          <w:p>
            <w:pPr>
              <w:pStyle w:val="TableParagraph"/>
              <w:spacing w:before="14"/>
              <w:ind w:left="105"/>
              <w:rPr>
                <w:sz w:val="20"/>
              </w:rPr>
            </w:pPr>
            <w:r>
              <w:rPr>
                <w:spacing w:val="-2"/>
                <w:sz w:val="20"/>
              </w:rPr>
              <w:t>Ongoing.</w:t>
            </w:r>
          </w:p>
        </w:tc>
        <w:tc>
          <w:tcPr>
            <w:tcW w:w="2916" w:type="dxa"/>
          </w:tcPr>
          <w:p>
            <w:pPr>
              <w:pStyle w:val="TableParagraph"/>
              <w:spacing w:before="14"/>
              <w:ind w:left="102" w:right="208"/>
              <w:rPr>
                <w:sz w:val="20"/>
              </w:rPr>
            </w:pPr>
            <w:r>
              <w:rPr>
                <w:sz w:val="20"/>
              </w:rPr>
              <w:t>Michele</w:t>
            </w:r>
            <w:r>
              <w:rPr>
                <w:spacing w:val="-10"/>
                <w:sz w:val="20"/>
              </w:rPr>
              <w:t> </w:t>
            </w:r>
            <w:r>
              <w:rPr>
                <w:sz w:val="20"/>
              </w:rPr>
              <w:t>Kelmer</w:t>
            </w:r>
            <w:r>
              <w:rPr>
                <w:spacing w:val="-9"/>
                <w:sz w:val="20"/>
              </w:rPr>
              <w:t> </w:t>
            </w:r>
            <w:r>
              <w:rPr>
                <w:sz w:val="20"/>
              </w:rPr>
              <w:t>is</w:t>
            </w:r>
            <w:r>
              <w:rPr>
                <w:spacing w:val="-11"/>
                <w:sz w:val="20"/>
              </w:rPr>
              <w:t> </w:t>
            </w:r>
            <w:r>
              <w:rPr>
                <w:sz w:val="20"/>
              </w:rPr>
              <w:t>willing</w:t>
            </w:r>
            <w:r>
              <w:rPr>
                <w:spacing w:val="-9"/>
                <w:sz w:val="20"/>
              </w:rPr>
              <w:t> </w:t>
            </w:r>
            <w:r>
              <w:rPr>
                <w:sz w:val="20"/>
              </w:rPr>
              <w:t>to help out again next year.</w:t>
            </w:r>
          </w:p>
        </w:tc>
      </w:tr>
      <w:tr>
        <w:trPr>
          <w:trHeight w:val="1638" w:hRule="atLeast"/>
        </w:trPr>
        <w:tc>
          <w:tcPr>
            <w:tcW w:w="1277" w:type="dxa"/>
            <w:vMerge/>
            <w:tcBorders>
              <w:top w:val="nil"/>
            </w:tcBorders>
          </w:tcPr>
          <w:p>
            <w:pPr>
              <w:rPr>
                <w:sz w:val="2"/>
                <w:szCs w:val="2"/>
              </w:rPr>
            </w:pPr>
          </w:p>
        </w:tc>
        <w:tc>
          <w:tcPr>
            <w:tcW w:w="2590" w:type="dxa"/>
          </w:tcPr>
          <w:p>
            <w:pPr>
              <w:pStyle w:val="TableParagraph"/>
              <w:spacing w:before="14"/>
              <w:ind w:left="107" w:right="136"/>
              <w:rPr>
                <w:sz w:val="20"/>
              </w:rPr>
            </w:pPr>
            <w:r>
              <w:rPr>
                <w:sz w:val="20"/>
              </w:rPr>
              <w:t>Charge 4: Coordinate with ETS</w:t>
            </w:r>
            <w:r>
              <w:rPr>
                <w:spacing w:val="-10"/>
                <w:sz w:val="20"/>
              </w:rPr>
              <w:t> </w:t>
            </w:r>
            <w:r>
              <w:rPr>
                <w:sz w:val="20"/>
              </w:rPr>
              <w:t>to</w:t>
            </w:r>
            <w:r>
              <w:rPr>
                <w:spacing w:val="-9"/>
                <w:sz w:val="20"/>
              </w:rPr>
              <w:t> </w:t>
            </w:r>
            <w:r>
              <w:rPr>
                <w:sz w:val="20"/>
              </w:rPr>
              <w:t>establish</w:t>
            </w:r>
            <w:r>
              <w:rPr>
                <w:spacing w:val="-9"/>
                <w:sz w:val="20"/>
              </w:rPr>
              <w:t> </w:t>
            </w:r>
            <w:r>
              <w:rPr>
                <w:sz w:val="20"/>
              </w:rPr>
              <w:t>an</w:t>
            </w:r>
            <w:r>
              <w:rPr>
                <w:spacing w:val="-9"/>
                <w:sz w:val="20"/>
              </w:rPr>
              <w:t> </w:t>
            </w:r>
            <w:r>
              <w:rPr>
                <w:sz w:val="20"/>
              </w:rPr>
              <w:t>equitable process for</w:t>
            </w:r>
            <w:r>
              <w:rPr>
                <w:spacing w:val="-1"/>
                <w:sz w:val="20"/>
              </w:rPr>
              <w:t> </w:t>
            </w:r>
            <w:r>
              <w:rPr>
                <w:sz w:val="20"/>
              </w:rPr>
              <w:t>determining how best to spend the general funds budgeted for certain</w:t>
            </w:r>
          </w:p>
          <w:p>
            <w:pPr>
              <w:pStyle w:val="TableParagraph"/>
              <w:spacing w:line="230" w:lineRule="atLeast"/>
              <w:ind w:left="107" w:right="136"/>
              <w:rPr>
                <w:sz w:val="20"/>
              </w:rPr>
            </w:pPr>
            <w:r>
              <w:rPr>
                <w:sz w:val="20"/>
              </w:rPr>
              <w:t>software</w:t>
            </w:r>
            <w:r>
              <w:rPr>
                <w:spacing w:val="-13"/>
                <w:sz w:val="20"/>
              </w:rPr>
              <w:t> </w:t>
            </w:r>
            <w:r>
              <w:rPr>
                <w:sz w:val="20"/>
              </w:rPr>
              <w:t>licenses</w:t>
            </w:r>
            <w:r>
              <w:rPr>
                <w:spacing w:val="-12"/>
                <w:sz w:val="20"/>
              </w:rPr>
              <w:t> </w:t>
            </w:r>
            <w:r>
              <w:rPr>
                <w:sz w:val="20"/>
              </w:rPr>
              <w:t>on</w:t>
            </w:r>
            <w:r>
              <w:rPr>
                <w:spacing w:val="-12"/>
                <w:sz w:val="20"/>
              </w:rPr>
              <w:t> </w:t>
            </w:r>
            <w:r>
              <w:rPr>
                <w:sz w:val="20"/>
              </w:rPr>
              <w:t>an annual basis.</w:t>
            </w:r>
          </w:p>
        </w:tc>
        <w:tc>
          <w:tcPr>
            <w:tcW w:w="3740" w:type="dxa"/>
          </w:tcPr>
          <w:p>
            <w:pPr>
              <w:pStyle w:val="TableParagraph"/>
              <w:spacing w:before="14"/>
              <w:ind w:left="104"/>
              <w:rPr>
                <w:sz w:val="20"/>
              </w:rPr>
            </w:pPr>
            <w:r>
              <w:rPr>
                <w:sz w:val="20"/>
              </w:rPr>
              <w:t>This</w:t>
            </w:r>
            <w:r>
              <w:rPr>
                <w:spacing w:val="-4"/>
                <w:sz w:val="20"/>
              </w:rPr>
              <w:t> </w:t>
            </w:r>
            <w:r>
              <w:rPr>
                <w:sz w:val="20"/>
              </w:rPr>
              <w:t>charge</w:t>
            </w:r>
            <w:r>
              <w:rPr>
                <w:spacing w:val="-3"/>
                <w:sz w:val="20"/>
              </w:rPr>
              <w:t> </w:t>
            </w:r>
            <w:r>
              <w:rPr>
                <w:sz w:val="20"/>
              </w:rPr>
              <w:t>can</w:t>
            </w:r>
            <w:r>
              <w:rPr>
                <w:spacing w:val="-3"/>
                <w:sz w:val="20"/>
              </w:rPr>
              <w:t> </w:t>
            </w:r>
            <w:r>
              <w:rPr>
                <w:sz w:val="20"/>
              </w:rPr>
              <w:t>be</w:t>
            </w:r>
            <w:r>
              <w:rPr>
                <w:spacing w:val="-3"/>
                <w:sz w:val="20"/>
              </w:rPr>
              <w:t> </w:t>
            </w:r>
            <w:r>
              <w:rPr>
                <w:spacing w:val="-2"/>
                <w:sz w:val="20"/>
              </w:rPr>
              <w:t>deleted.</w:t>
            </w:r>
          </w:p>
        </w:tc>
        <w:tc>
          <w:tcPr>
            <w:tcW w:w="1268" w:type="dxa"/>
          </w:tcPr>
          <w:p>
            <w:pPr>
              <w:pStyle w:val="TableParagraph"/>
              <w:rPr>
                <w:sz w:val="18"/>
              </w:rPr>
            </w:pPr>
          </w:p>
        </w:tc>
        <w:tc>
          <w:tcPr>
            <w:tcW w:w="1162" w:type="dxa"/>
          </w:tcPr>
          <w:p>
            <w:pPr>
              <w:pStyle w:val="TableParagraph"/>
              <w:spacing w:before="14"/>
              <w:ind w:left="105"/>
              <w:rPr>
                <w:sz w:val="20"/>
              </w:rPr>
            </w:pPr>
            <w:r>
              <w:rPr>
                <w:sz w:val="20"/>
              </w:rPr>
              <w:t>Item no </w:t>
            </w:r>
            <w:r>
              <w:rPr>
                <w:spacing w:val="-2"/>
                <w:sz w:val="20"/>
              </w:rPr>
              <w:t>longer applicable.</w:t>
            </w:r>
          </w:p>
        </w:tc>
        <w:tc>
          <w:tcPr>
            <w:tcW w:w="2916" w:type="dxa"/>
          </w:tcPr>
          <w:p>
            <w:pPr>
              <w:pStyle w:val="TableParagraph"/>
              <w:spacing w:before="14"/>
              <w:ind w:left="102"/>
              <w:rPr>
                <w:sz w:val="20"/>
              </w:rPr>
            </w:pPr>
            <w:r>
              <w:rPr>
                <w:sz w:val="20"/>
              </w:rPr>
              <w:t>Item</w:t>
            </w:r>
            <w:r>
              <w:rPr>
                <w:spacing w:val="-3"/>
                <w:sz w:val="20"/>
              </w:rPr>
              <w:t> </w:t>
            </w:r>
            <w:r>
              <w:rPr>
                <w:sz w:val="20"/>
              </w:rPr>
              <w:t>no</w:t>
            </w:r>
            <w:r>
              <w:rPr>
                <w:spacing w:val="-3"/>
                <w:sz w:val="20"/>
              </w:rPr>
              <w:t> </w:t>
            </w:r>
            <w:r>
              <w:rPr>
                <w:sz w:val="20"/>
              </w:rPr>
              <w:t>longer</w:t>
            </w:r>
            <w:r>
              <w:rPr>
                <w:spacing w:val="-6"/>
                <w:sz w:val="20"/>
              </w:rPr>
              <w:t> </w:t>
            </w:r>
            <w:r>
              <w:rPr>
                <w:spacing w:val="-2"/>
                <w:sz w:val="20"/>
              </w:rPr>
              <w:t>applicable.</w:t>
            </w:r>
          </w:p>
        </w:tc>
      </w:tr>
      <w:tr>
        <w:trPr>
          <w:trHeight w:val="950" w:hRule="atLeast"/>
        </w:trPr>
        <w:tc>
          <w:tcPr>
            <w:tcW w:w="1277" w:type="dxa"/>
            <w:vMerge/>
            <w:tcBorders>
              <w:top w:val="nil"/>
            </w:tcBorders>
          </w:tcPr>
          <w:p>
            <w:pPr>
              <w:rPr>
                <w:sz w:val="2"/>
                <w:szCs w:val="2"/>
              </w:rPr>
            </w:pPr>
          </w:p>
        </w:tc>
        <w:tc>
          <w:tcPr>
            <w:tcW w:w="2590" w:type="dxa"/>
          </w:tcPr>
          <w:p>
            <w:pPr>
              <w:pStyle w:val="TableParagraph"/>
              <w:spacing w:line="230" w:lineRule="atLeast" w:before="10"/>
              <w:ind w:left="107" w:right="200"/>
              <w:rPr>
                <w:sz w:val="20"/>
              </w:rPr>
            </w:pPr>
            <w:r>
              <w:rPr>
                <w:sz w:val="20"/>
              </w:rPr>
              <w:t>Charge 5: Study the alignment of SOE technology</w:t>
            </w:r>
            <w:r>
              <w:rPr>
                <w:spacing w:val="-12"/>
                <w:sz w:val="20"/>
              </w:rPr>
              <w:t> </w:t>
            </w:r>
            <w:r>
              <w:rPr>
                <w:sz w:val="20"/>
              </w:rPr>
              <w:t>with</w:t>
            </w:r>
            <w:r>
              <w:rPr>
                <w:spacing w:val="-12"/>
                <w:sz w:val="20"/>
              </w:rPr>
              <w:t> </w:t>
            </w:r>
            <w:r>
              <w:rPr>
                <w:sz w:val="20"/>
              </w:rPr>
              <w:t>practices</w:t>
            </w:r>
            <w:r>
              <w:rPr>
                <w:spacing w:val="-13"/>
                <w:sz w:val="20"/>
              </w:rPr>
              <w:t> </w:t>
            </w:r>
            <w:r>
              <w:rPr>
                <w:sz w:val="20"/>
              </w:rPr>
              <w:t>in the K-12 setting</w:t>
            </w:r>
          </w:p>
        </w:tc>
        <w:tc>
          <w:tcPr>
            <w:tcW w:w="3740" w:type="dxa"/>
          </w:tcPr>
          <w:p>
            <w:pPr>
              <w:pStyle w:val="TableParagraph"/>
              <w:spacing w:before="14"/>
              <w:ind w:left="104" w:right="151"/>
              <w:rPr>
                <w:sz w:val="20"/>
              </w:rPr>
            </w:pPr>
            <w:r>
              <w:rPr>
                <w:sz w:val="20"/>
              </w:rPr>
              <w:t>This</w:t>
            </w:r>
            <w:r>
              <w:rPr>
                <w:spacing w:val="-7"/>
                <w:sz w:val="20"/>
              </w:rPr>
              <w:t> </w:t>
            </w:r>
            <w:r>
              <w:rPr>
                <w:sz w:val="20"/>
              </w:rPr>
              <w:t>is</w:t>
            </w:r>
            <w:r>
              <w:rPr>
                <w:spacing w:val="-7"/>
                <w:sz w:val="20"/>
              </w:rPr>
              <w:t> </w:t>
            </w:r>
            <w:r>
              <w:rPr>
                <w:sz w:val="20"/>
              </w:rPr>
              <w:t>a</w:t>
            </w:r>
            <w:r>
              <w:rPr>
                <w:spacing w:val="-6"/>
                <w:sz w:val="20"/>
              </w:rPr>
              <w:t> </w:t>
            </w:r>
            <w:r>
              <w:rPr>
                <w:sz w:val="20"/>
              </w:rPr>
              <w:t>long</w:t>
            </w:r>
            <w:r>
              <w:rPr>
                <w:spacing w:val="-5"/>
                <w:sz w:val="20"/>
              </w:rPr>
              <w:t> </w:t>
            </w:r>
            <w:r>
              <w:rPr>
                <w:sz w:val="20"/>
              </w:rPr>
              <w:t>term</w:t>
            </w:r>
            <w:r>
              <w:rPr>
                <w:spacing w:val="-7"/>
                <w:sz w:val="20"/>
              </w:rPr>
              <w:t> </w:t>
            </w:r>
            <w:r>
              <w:rPr>
                <w:sz w:val="20"/>
              </w:rPr>
              <w:t>project.</w:t>
            </w:r>
            <w:r>
              <w:rPr>
                <w:spacing w:val="-5"/>
                <w:sz w:val="20"/>
              </w:rPr>
              <w:t> </w:t>
            </w:r>
            <w:r>
              <w:rPr>
                <w:sz w:val="20"/>
              </w:rPr>
              <w:t>Initial</w:t>
            </w:r>
            <w:r>
              <w:rPr>
                <w:spacing w:val="-6"/>
                <w:sz w:val="20"/>
              </w:rPr>
              <w:t> </w:t>
            </w:r>
            <w:r>
              <w:rPr>
                <w:sz w:val="20"/>
              </w:rPr>
              <w:t>meetings with teacher education were made.</w:t>
            </w:r>
          </w:p>
        </w:tc>
        <w:tc>
          <w:tcPr>
            <w:tcW w:w="1268" w:type="dxa"/>
          </w:tcPr>
          <w:p>
            <w:pPr>
              <w:pStyle w:val="TableParagraph"/>
              <w:spacing w:line="230" w:lineRule="atLeast" w:before="10"/>
              <w:ind w:left="106"/>
              <w:rPr>
                <w:sz w:val="20"/>
              </w:rPr>
            </w:pPr>
            <w:r>
              <w:rPr>
                <w:sz w:val="20"/>
              </w:rPr>
              <w:t>Item is </w:t>
            </w:r>
            <w:r>
              <w:rPr>
                <w:spacing w:val="-2"/>
                <w:sz w:val="20"/>
              </w:rPr>
              <w:t>complicated </w:t>
            </w:r>
            <w:r>
              <w:rPr>
                <w:sz w:val="20"/>
              </w:rPr>
              <w:t>and many </w:t>
            </w:r>
            <w:r>
              <w:rPr>
                <w:spacing w:val="-2"/>
                <w:sz w:val="20"/>
              </w:rPr>
              <w:t>stakeholders.</w:t>
            </w:r>
          </w:p>
        </w:tc>
        <w:tc>
          <w:tcPr>
            <w:tcW w:w="1162" w:type="dxa"/>
          </w:tcPr>
          <w:p>
            <w:pPr>
              <w:pStyle w:val="TableParagraph"/>
              <w:spacing w:before="14"/>
              <w:ind w:left="105"/>
              <w:rPr>
                <w:sz w:val="20"/>
              </w:rPr>
            </w:pPr>
            <w:r>
              <w:rPr>
                <w:spacing w:val="-2"/>
                <w:sz w:val="20"/>
              </w:rPr>
              <w:t>Ongoing</w:t>
            </w:r>
          </w:p>
        </w:tc>
        <w:tc>
          <w:tcPr>
            <w:tcW w:w="2916" w:type="dxa"/>
          </w:tcPr>
          <w:p>
            <w:pPr>
              <w:pStyle w:val="TableParagraph"/>
              <w:spacing w:before="14"/>
              <w:ind w:left="102"/>
              <w:rPr>
                <w:sz w:val="20"/>
              </w:rPr>
            </w:pPr>
            <w:r>
              <w:rPr>
                <w:sz w:val="20"/>
              </w:rPr>
              <w:t>Intend to conduct technology integration</w:t>
            </w:r>
            <w:r>
              <w:rPr>
                <w:spacing w:val="-8"/>
                <w:sz w:val="20"/>
              </w:rPr>
              <w:t> </w:t>
            </w:r>
            <w:r>
              <w:rPr>
                <w:sz w:val="20"/>
              </w:rPr>
              <w:t>survey</w:t>
            </w:r>
            <w:r>
              <w:rPr>
                <w:spacing w:val="-8"/>
                <w:sz w:val="20"/>
              </w:rPr>
              <w:t> </w:t>
            </w:r>
            <w:r>
              <w:rPr>
                <w:sz w:val="20"/>
              </w:rPr>
              <w:t>in</w:t>
            </w:r>
            <w:r>
              <w:rPr>
                <w:spacing w:val="-8"/>
                <w:sz w:val="20"/>
              </w:rPr>
              <w:t> </w:t>
            </w:r>
            <w:r>
              <w:rPr>
                <w:sz w:val="20"/>
              </w:rPr>
              <w:t>the</w:t>
            </w:r>
            <w:r>
              <w:rPr>
                <w:spacing w:val="-8"/>
                <w:sz w:val="20"/>
              </w:rPr>
              <w:t> </w:t>
            </w:r>
            <w:r>
              <w:rPr>
                <w:sz w:val="20"/>
              </w:rPr>
              <w:t>fall</w:t>
            </w:r>
            <w:r>
              <w:rPr>
                <w:spacing w:val="-8"/>
                <w:sz w:val="20"/>
              </w:rPr>
              <w:t> </w:t>
            </w:r>
            <w:r>
              <w:rPr>
                <w:sz w:val="20"/>
              </w:rPr>
              <w:t>of </w:t>
            </w:r>
            <w:r>
              <w:rPr>
                <w:spacing w:val="-2"/>
                <w:sz w:val="20"/>
              </w:rPr>
              <w:t>2023.</w:t>
            </w:r>
          </w:p>
        </w:tc>
      </w:tr>
    </w:tbl>
    <w:p>
      <w:pPr>
        <w:spacing w:after="0"/>
        <w:rPr>
          <w:sz w:val="20"/>
        </w:rPr>
        <w:sectPr>
          <w:headerReference w:type="default" r:id="rId5"/>
          <w:type w:val="continuous"/>
          <w:pgSz w:w="15840" w:h="12240" w:orient="landscape"/>
          <w:pgMar w:header="727" w:footer="0" w:top="1420" w:bottom="280" w:left="1340" w:right="1340"/>
          <w:pgNumType w:start="1"/>
        </w:sectPr>
      </w:pPr>
    </w:p>
    <w:p>
      <w:pPr>
        <w:pStyle w:val="BodyText"/>
        <w:spacing w:before="4"/>
        <w:rPr>
          <w:sz w:val="17"/>
        </w:rPr>
      </w:pPr>
    </w:p>
    <w:sectPr>
      <w:pgSz w:w="15840" w:h="12240" w:orient="landscape"/>
      <w:pgMar w:header="727" w:footer="0" w:top="142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11040">
              <wp:simplePos x="0" y="0"/>
              <wp:positionH relativeFrom="page">
                <wp:posOffset>901700</wp:posOffset>
              </wp:positionH>
              <wp:positionV relativeFrom="page">
                <wp:posOffset>449098</wp:posOffset>
              </wp:positionV>
              <wp:extent cx="4434205" cy="1809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434205" cy="180975"/>
                      </a:xfrm>
                      <a:prstGeom prst="rect">
                        <a:avLst/>
                      </a:prstGeom>
                    </wps:spPr>
                    <wps:txbx>
                      <w:txbxContent>
                        <w:p>
                          <w:pPr>
                            <w:pStyle w:val="BodyText"/>
                            <w:spacing w:before="11"/>
                            <w:ind w:left="20"/>
                          </w:pPr>
                          <w:r>
                            <w:rPr/>
                            <w:t>2022-2023</w:t>
                          </w:r>
                          <w:r>
                            <w:rPr>
                              <w:spacing w:val="-15"/>
                            </w:rPr>
                            <w:t> </w:t>
                          </w:r>
                          <w:r>
                            <w:rPr/>
                            <w:t>Learning</w:t>
                          </w:r>
                          <w:r>
                            <w:rPr>
                              <w:spacing w:val="-9"/>
                            </w:rPr>
                            <w:t> </w:t>
                          </w:r>
                          <w:r>
                            <w:rPr/>
                            <w:t>and</w:t>
                          </w:r>
                          <w:r>
                            <w:rPr>
                              <w:spacing w:val="-12"/>
                            </w:rPr>
                            <w:t> </w:t>
                          </w:r>
                          <w:r>
                            <w:rPr/>
                            <w:t>Teaching</w:t>
                          </w:r>
                          <w:r>
                            <w:rPr>
                              <w:spacing w:val="-9"/>
                            </w:rPr>
                            <w:t> </w:t>
                          </w:r>
                          <w:r>
                            <w:rPr/>
                            <w:t>with</w:t>
                          </w:r>
                          <w:r>
                            <w:rPr>
                              <w:spacing w:val="-12"/>
                            </w:rPr>
                            <w:t> </w:t>
                          </w:r>
                          <w:r>
                            <w:rPr/>
                            <w:t>Technology</w:t>
                          </w:r>
                          <w:r>
                            <w:rPr>
                              <w:spacing w:val="-8"/>
                            </w:rPr>
                            <w:t> </w:t>
                          </w:r>
                          <w:r>
                            <w:rPr/>
                            <w:t>Committee</w:t>
                          </w:r>
                          <w:r>
                            <w:rPr>
                              <w:spacing w:val="-14"/>
                            </w:rPr>
                            <w:t> </w:t>
                          </w:r>
                          <w:r>
                            <w:rPr/>
                            <w:t>Annual</w:t>
                          </w:r>
                          <w:r>
                            <w:rPr>
                              <w:spacing w:val="-7"/>
                            </w:rPr>
                            <w:t> </w:t>
                          </w:r>
                          <w:r>
                            <w:rPr>
                              <w:spacing w:val="-2"/>
                            </w:rPr>
                            <w:t>Report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35.36211pt;width:349.15pt;height:14.25pt;mso-position-horizontal-relative:page;mso-position-vertical-relative:page;z-index:-15805440" type="#_x0000_t202" id="docshape1" filled="false" stroked="false">
              <v:textbox inset="0,0,0,0">
                <w:txbxContent>
                  <w:p>
                    <w:pPr>
                      <w:pStyle w:val="BodyText"/>
                      <w:spacing w:before="11"/>
                      <w:ind w:left="20"/>
                    </w:pPr>
                    <w:r>
                      <w:rPr/>
                      <w:t>2022-2023</w:t>
                    </w:r>
                    <w:r>
                      <w:rPr>
                        <w:spacing w:val="-15"/>
                      </w:rPr>
                      <w:t> </w:t>
                    </w:r>
                    <w:r>
                      <w:rPr/>
                      <w:t>Learning</w:t>
                    </w:r>
                    <w:r>
                      <w:rPr>
                        <w:spacing w:val="-9"/>
                      </w:rPr>
                      <w:t> </w:t>
                    </w:r>
                    <w:r>
                      <w:rPr/>
                      <w:t>and</w:t>
                    </w:r>
                    <w:r>
                      <w:rPr>
                        <w:spacing w:val="-12"/>
                      </w:rPr>
                      <w:t> </w:t>
                    </w:r>
                    <w:r>
                      <w:rPr/>
                      <w:t>Teaching</w:t>
                    </w:r>
                    <w:r>
                      <w:rPr>
                        <w:spacing w:val="-9"/>
                      </w:rPr>
                      <w:t> </w:t>
                    </w:r>
                    <w:r>
                      <w:rPr/>
                      <w:t>with</w:t>
                    </w:r>
                    <w:r>
                      <w:rPr>
                        <w:spacing w:val="-12"/>
                      </w:rPr>
                      <w:t> </w:t>
                    </w:r>
                    <w:r>
                      <w:rPr/>
                      <w:t>Technology</w:t>
                    </w:r>
                    <w:r>
                      <w:rPr>
                        <w:spacing w:val="-8"/>
                      </w:rPr>
                      <w:t> </w:t>
                    </w:r>
                    <w:r>
                      <w:rPr/>
                      <w:t>Committee</w:t>
                    </w:r>
                    <w:r>
                      <w:rPr>
                        <w:spacing w:val="-14"/>
                      </w:rPr>
                      <w:t> </w:t>
                    </w:r>
                    <w:r>
                      <w:rPr/>
                      <w:t>Annual</w:t>
                    </w:r>
                    <w:r>
                      <w:rPr>
                        <w:spacing w:val="-7"/>
                      </w:rPr>
                      <w:t> </w:t>
                    </w:r>
                    <w:r>
                      <w:rPr>
                        <w:spacing w:val="-2"/>
                      </w:rPr>
                      <w:t>Report</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Hawkins, Chandler Kris</dc:creator>
  <dc:description/>
  <dcterms:created xsi:type="dcterms:W3CDTF">2024-05-23T15:57:41Z</dcterms:created>
  <dcterms:modified xsi:type="dcterms:W3CDTF">2024-05-23T15:57:41Z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2023-10-05T00:00:00Z</vt:filetime>
  </property>
  <property fmtid="{D5CDD505-2E9C-101B-9397-08002B2CF9AE}" pid="3" name="Creator">
    <vt:lpwstr>Acrobat PDFMaker 23 for Word</vt:lpwstr>
  </property>
  <property fmtid="{D5CDD505-2E9C-101B-9397-08002B2CF9AE}" pid="4" name="LastSaved">
    <vt:filetime>2024-05-23T00:00:00Z</vt:filetime>
  </property>
  <property fmtid="{D5CDD505-2E9C-101B-9397-08002B2CF9AE}" pid="5" name="Producer">
    <vt:lpwstr>Adobe PDF Library 23.6.96</vt:lpwstr>
  </property>
  <property fmtid="{D5CDD505-2E9C-101B-9397-08002B2CF9AE}" pid="6" name="SourceModified">
    <vt:lpwstr>D:20231005154244</vt:lpwstr>
  </property>
</Properties>
</file>