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8"/>
        <w:ind w:left="100"/>
      </w:pPr>
      <w:r>
        <w:rPr/>
        <w:t>2022-2023</w:t>
      </w:r>
      <w:r>
        <w:rPr>
          <w:spacing w:val="-11"/>
        </w:rPr>
        <w:t> </w:t>
      </w:r>
      <w:r>
        <w:rPr/>
        <w:t>Undergraduate</w:t>
      </w:r>
      <w:r>
        <w:rPr>
          <w:spacing w:val="-9"/>
        </w:rPr>
        <w:t> </w:t>
      </w:r>
      <w:r>
        <w:rPr/>
        <w:t>Scholarship</w:t>
      </w:r>
      <w:r>
        <w:rPr>
          <w:spacing w:val="-7"/>
        </w:rPr>
        <w:t> </w:t>
      </w:r>
      <w:r>
        <w:rPr/>
        <w:t>Committee</w:t>
      </w:r>
      <w:r>
        <w:rPr>
          <w:spacing w:val="-13"/>
        </w:rPr>
        <w:t> </w:t>
      </w:r>
      <w:r>
        <w:rPr/>
        <w:t>Annual</w:t>
      </w:r>
      <w:r>
        <w:rPr>
          <w:spacing w:val="-6"/>
        </w:rPr>
        <w:t> </w:t>
      </w:r>
      <w:r>
        <w:rPr>
          <w:spacing w:val="-2"/>
        </w:rPr>
        <w:t>Report</w:t>
      </w:r>
    </w:p>
    <w:p>
      <w:pPr>
        <w:pStyle w:val="BodyText"/>
        <w:rPr>
          <w:sz w:val="20"/>
        </w:rPr>
      </w:pPr>
    </w:p>
    <w:p>
      <w:pPr>
        <w:pStyle w:val="BodyText"/>
        <w:spacing w:before="9"/>
        <w:rPr>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06"/>
        <w:gridCol w:w="3213"/>
        <w:gridCol w:w="4442"/>
        <w:gridCol w:w="909"/>
        <w:gridCol w:w="1161"/>
        <w:gridCol w:w="1816"/>
      </w:tblGrid>
      <w:tr>
        <w:trPr>
          <w:trHeight w:val="719" w:hRule="atLeast"/>
        </w:trPr>
        <w:tc>
          <w:tcPr>
            <w:tcW w:w="1406" w:type="dxa"/>
          </w:tcPr>
          <w:p>
            <w:pPr>
              <w:pStyle w:val="TableParagraph"/>
              <w:spacing w:before="15"/>
              <w:rPr>
                <w:sz w:val="20"/>
              </w:rPr>
            </w:pPr>
          </w:p>
          <w:p>
            <w:pPr>
              <w:pStyle w:val="TableParagraph"/>
              <w:ind w:left="256"/>
              <w:rPr>
                <w:sz w:val="20"/>
              </w:rPr>
            </w:pPr>
            <w:r>
              <w:rPr>
                <w:spacing w:val="-2"/>
                <w:sz w:val="20"/>
              </w:rPr>
              <w:t>Committee</w:t>
            </w:r>
          </w:p>
        </w:tc>
        <w:tc>
          <w:tcPr>
            <w:tcW w:w="3213" w:type="dxa"/>
          </w:tcPr>
          <w:p>
            <w:pPr>
              <w:pStyle w:val="TableParagraph"/>
              <w:spacing w:before="15"/>
              <w:rPr>
                <w:sz w:val="20"/>
              </w:rPr>
            </w:pPr>
          </w:p>
          <w:p>
            <w:pPr>
              <w:pStyle w:val="TableParagraph"/>
              <w:ind w:left="7"/>
              <w:jc w:val="center"/>
              <w:rPr>
                <w:sz w:val="20"/>
              </w:rPr>
            </w:pPr>
            <w:r>
              <w:rPr>
                <w:spacing w:val="-2"/>
                <w:sz w:val="20"/>
              </w:rPr>
              <w:t>Charges</w:t>
            </w:r>
          </w:p>
        </w:tc>
        <w:tc>
          <w:tcPr>
            <w:tcW w:w="4442" w:type="dxa"/>
          </w:tcPr>
          <w:p>
            <w:pPr>
              <w:pStyle w:val="TableParagraph"/>
              <w:spacing w:before="15"/>
              <w:rPr>
                <w:sz w:val="20"/>
              </w:rPr>
            </w:pPr>
          </w:p>
          <w:p>
            <w:pPr>
              <w:pStyle w:val="TableParagraph"/>
              <w:ind w:left="12"/>
              <w:jc w:val="center"/>
              <w:rPr>
                <w:sz w:val="20"/>
              </w:rPr>
            </w:pPr>
            <w:r>
              <w:rPr>
                <w:spacing w:val="-2"/>
                <w:sz w:val="20"/>
              </w:rPr>
              <w:t>Progress</w:t>
            </w:r>
          </w:p>
        </w:tc>
        <w:tc>
          <w:tcPr>
            <w:tcW w:w="909" w:type="dxa"/>
          </w:tcPr>
          <w:p>
            <w:pPr>
              <w:pStyle w:val="TableParagraph"/>
              <w:spacing w:before="130"/>
              <w:ind w:left="224" w:right="97" w:hanging="118"/>
              <w:rPr>
                <w:sz w:val="20"/>
              </w:rPr>
            </w:pPr>
            <w:r>
              <w:rPr>
                <w:spacing w:val="-2"/>
                <w:sz w:val="20"/>
              </w:rPr>
              <w:t>Barriers, </w:t>
            </w:r>
            <w:r>
              <w:rPr>
                <w:sz w:val="20"/>
              </w:rPr>
              <w:t>if any</w:t>
            </w:r>
          </w:p>
        </w:tc>
        <w:tc>
          <w:tcPr>
            <w:tcW w:w="1161" w:type="dxa"/>
          </w:tcPr>
          <w:p>
            <w:pPr>
              <w:pStyle w:val="TableParagraph"/>
              <w:spacing w:line="230" w:lineRule="atLeast" w:before="9"/>
              <w:ind w:left="109" w:right="93" w:hanging="4"/>
              <w:jc w:val="center"/>
              <w:rPr>
                <w:sz w:val="20"/>
              </w:rPr>
            </w:pPr>
            <w:r>
              <w:rPr>
                <w:spacing w:val="-2"/>
                <w:sz w:val="20"/>
              </w:rPr>
              <w:t>Estimated Completion </w:t>
            </w:r>
            <w:r>
              <w:rPr>
                <w:spacing w:val="-4"/>
                <w:sz w:val="20"/>
              </w:rPr>
              <w:t>Date</w:t>
            </w:r>
          </w:p>
        </w:tc>
        <w:tc>
          <w:tcPr>
            <w:tcW w:w="1816" w:type="dxa"/>
          </w:tcPr>
          <w:p>
            <w:pPr>
              <w:pStyle w:val="TableParagraph"/>
              <w:spacing w:before="15"/>
              <w:rPr>
                <w:sz w:val="20"/>
              </w:rPr>
            </w:pPr>
          </w:p>
          <w:p>
            <w:pPr>
              <w:pStyle w:val="TableParagraph"/>
              <w:ind w:left="223"/>
              <w:rPr>
                <w:sz w:val="20"/>
              </w:rPr>
            </w:pPr>
            <w:r>
              <w:rPr>
                <w:sz w:val="20"/>
              </w:rPr>
              <w:t>Additional</w:t>
            </w:r>
            <w:r>
              <w:rPr>
                <w:spacing w:val="-8"/>
                <w:sz w:val="20"/>
              </w:rPr>
              <w:t> </w:t>
            </w:r>
            <w:r>
              <w:rPr>
                <w:spacing w:val="-2"/>
                <w:sz w:val="20"/>
              </w:rPr>
              <w:t>Notes</w:t>
            </w:r>
          </w:p>
        </w:tc>
      </w:tr>
      <w:tr>
        <w:trPr>
          <w:trHeight w:val="3479" w:hRule="atLeast"/>
        </w:trPr>
        <w:tc>
          <w:tcPr>
            <w:tcW w:w="14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30"/>
              <w:rPr>
                <w:sz w:val="20"/>
              </w:rPr>
            </w:pPr>
          </w:p>
          <w:p>
            <w:pPr>
              <w:pStyle w:val="TableParagraph"/>
              <w:ind w:left="227" w:hanging="121"/>
              <w:rPr>
                <w:sz w:val="20"/>
              </w:rPr>
            </w:pPr>
            <w:r>
              <w:rPr>
                <w:spacing w:val="-2"/>
                <w:sz w:val="20"/>
              </w:rPr>
              <w:t>Undergraduate Scholarship</w:t>
            </w:r>
          </w:p>
        </w:tc>
        <w:tc>
          <w:tcPr>
            <w:tcW w:w="3213" w:type="dxa"/>
          </w:tcPr>
          <w:p>
            <w:pPr>
              <w:pStyle w:val="TableParagraph"/>
              <w:spacing w:before="14"/>
              <w:ind w:left="105" w:right="44"/>
              <w:rPr>
                <w:sz w:val="20"/>
              </w:rPr>
            </w:pPr>
            <w:r>
              <w:rPr>
                <w:sz w:val="20"/>
              </w:rPr>
              <w:t>Charge</w:t>
            </w:r>
            <w:r>
              <w:rPr>
                <w:spacing w:val="-8"/>
                <w:sz w:val="20"/>
              </w:rPr>
              <w:t> </w:t>
            </w:r>
            <w:r>
              <w:rPr>
                <w:sz w:val="20"/>
              </w:rPr>
              <w:t>1:</w:t>
            </w:r>
            <w:r>
              <w:rPr>
                <w:spacing w:val="-8"/>
                <w:sz w:val="20"/>
              </w:rPr>
              <w:t> </w:t>
            </w:r>
            <w:r>
              <w:rPr>
                <w:sz w:val="20"/>
              </w:rPr>
              <w:t>Make</w:t>
            </w:r>
            <w:r>
              <w:rPr>
                <w:spacing w:val="-8"/>
                <w:sz w:val="20"/>
              </w:rPr>
              <w:t> </w:t>
            </w:r>
            <w:r>
              <w:rPr>
                <w:sz w:val="20"/>
              </w:rPr>
              <w:t>sure</w:t>
            </w:r>
            <w:r>
              <w:rPr>
                <w:spacing w:val="-10"/>
                <w:sz w:val="20"/>
              </w:rPr>
              <w:t> </w:t>
            </w:r>
            <w:r>
              <w:rPr>
                <w:sz w:val="20"/>
              </w:rPr>
              <w:t>new</w:t>
            </w:r>
            <w:r>
              <w:rPr>
                <w:spacing w:val="-8"/>
                <w:sz w:val="20"/>
              </w:rPr>
              <w:t> </w:t>
            </w:r>
            <w:r>
              <w:rPr>
                <w:sz w:val="20"/>
              </w:rPr>
              <w:t>processes are aligned with the new campus policies / guidelines</w:t>
            </w:r>
          </w:p>
        </w:tc>
        <w:tc>
          <w:tcPr>
            <w:tcW w:w="4442" w:type="dxa"/>
          </w:tcPr>
          <w:p>
            <w:pPr>
              <w:pStyle w:val="TableParagraph"/>
              <w:spacing w:before="14"/>
              <w:ind w:left="108" w:right="143"/>
              <w:rPr>
                <w:sz w:val="20"/>
              </w:rPr>
            </w:pPr>
            <w:r>
              <w:rPr>
                <w:sz w:val="20"/>
              </w:rPr>
              <w:t>With a committee of 3 support staff, 2 graduate student reviewers, and 5 faculty reviewers, we met from December through April to streamline the selection process, enact the process, and make award recommendations for every award in EFS identified by the support staff. We lengthened the timeline this year to allow students more time to submit applications and the review committee to review, rank, and award the</w:t>
            </w:r>
            <w:r>
              <w:rPr>
                <w:spacing w:val="-2"/>
                <w:sz w:val="20"/>
              </w:rPr>
              <w:t> </w:t>
            </w:r>
            <w:r>
              <w:rPr>
                <w:sz w:val="20"/>
              </w:rPr>
              <w:t>scholarships</w:t>
            </w:r>
            <w:r>
              <w:rPr>
                <w:spacing w:val="-1"/>
                <w:sz w:val="20"/>
              </w:rPr>
              <w:t> </w:t>
            </w:r>
            <w:r>
              <w:rPr>
                <w:sz w:val="20"/>
              </w:rPr>
              <w:t>so that the work could be done thoughtfully and with fidelity while giving us enough time to review and account for</w:t>
            </w:r>
            <w:r>
              <w:rPr>
                <w:spacing w:val="-5"/>
                <w:sz w:val="20"/>
              </w:rPr>
              <w:t> </w:t>
            </w:r>
            <w:r>
              <w:rPr>
                <w:sz w:val="20"/>
              </w:rPr>
              <w:t>each</w:t>
            </w:r>
            <w:r>
              <w:rPr>
                <w:spacing w:val="-7"/>
                <w:sz w:val="20"/>
              </w:rPr>
              <w:t> </w:t>
            </w:r>
            <w:r>
              <w:rPr>
                <w:sz w:val="20"/>
              </w:rPr>
              <w:t>award.</w:t>
            </w:r>
            <w:r>
              <w:rPr>
                <w:spacing w:val="-5"/>
                <w:sz w:val="20"/>
              </w:rPr>
              <w:t> </w:t>
            </w:r>
            <w:r>
              <w:rPr>
                <w:sz w:val="20"/>
              </w:rPr>
              <w:t>We</w:t>
            </w:r>
            <w:r>
              <w:rPr>
                <w:spacing w:val="-6"/>
                <w:sz w:val="20"/>
              </w:rPr>
              <w:t> </w:t>
            </w:r>
            <w:r>
              <w:rPr>
                <w:sz w:val="20"/>
              </w:rPr>
              <w:t>experienced</w:t>
            </w:r>
            <w:r>
              <w:rPr>
                <w:spacing w:val="-5"/>
                <w:sz w:val="20"/>
              </w:rPr>
              <w:t> </w:t>
            </w:r>
            <w:r>
              <w:rPr>
                <w:sz w:val="20"/>
              </w:rPr>
              <w:t>challenges</w:t>
            </w:r>
            <w:r>
              <w:rPr>
                <w:spacing w:val="-7"/>
                <w:sz w:val="20"/>
              </w:rPr>
              <w:t> </w:t>
            </w:r>
            <w:r>
              <w:rPr>
                <w:sz w:val="20"/>
              </w:rPr>
              <w:t>with</w:t>
            </w:r>
            <w:r>
              <w:rPr>
                <w:spacing w:val="-5"/>
                <w:sz w:val="20"/>
              </w:rPr>
              <w:t> </w:t>
            </w:r>
            <w:r>
              <w:rPr>
                <w:sz w:val="20"/>
              </w:rPr>
              <w:t>the submission system that Duc worked hard to fix,</w:t>
            </w:r>
            <w:r>
              <w:rPr>
                <w:spacing w:val="-1"/>
                <w:sz w:val="20"/>
              </w:rPr>
              <w:t> </w:t>
            </w:r>
            <w:r>
              <w:rPr>
                <w:sz w:val="20"/>
              </w:rPr>
              <w:t>but</w:t>
            </w:r>
          </w:p>
          <w:p>
            <w:pPr>
              <w:pStyle w:val="TableParagraph"/>
              <w:spacing w:line="230" w:lineRule="exact"/>
              <w:ind w:left="108" w:right="143"/>
              <w:rPr>
                <w:sz w:val="20"/>
              </w:rPr>
            </w:pPr>
            <w:r>
              <w:rPr>
                <w:sz w:val="20"/>
              </w:rPr>
              <w:t>because</w:t>
            </w:r>
            <w:r>
              <w:rPr>
                <w:spacing w:val="-5"/>
                <w:sz w:val="20"/>
              </w:rPr>
              <w:t> </w:t>
            </w:r>
            <w:r>
              <w:rPr>
                <w:sz w:val="20"/>
              </w:rPr>
              <w:t>we</w:t>
            </w:r>
            <w:r>
              <w:rPr>
                <w:spacing w:val="-5"/>
                <w:sz w:val="20"/>
              </w:rPr>
              <w:t> </w:t>
            </w:r>
            <w:r>
              <w:rPr>
                <w:sz w:val="20"/>
              </w:rPr>
              <w:t>lengthened</w:t>
            </w:r>
            <w:r>
              <w:rPr>
                <w:spacing w:val="-4"/>
                <w:sz w:val="20"/>
              </w:rPr>
              <w:t> </w:t>
            </w:r>
            <w:r>
              <w:rPr>
                <w:sz w:val="20"/>
              </w:rPr>
              <w:t>the</w:t>
            </w:r>
            <w:r>
              <w:rPr>
                <w:spacing w:val="-5"/>
                <w:sz w:val="20"/>
              </w:rPr>
              <w:t> </w:t>
            </w:r>
            <w:r>
              <w:rPr>
                <w:sz w:val="20"/>
              </w:rPr>
              <w:t>timeline</w:t>
            </w:r>
            <w:r>
              <w:rPr>
                <w:spacing w:val="-5"/>
                <w:sz w:val="20"/>
              </w:rPr>
              <w:t> </w:t>
            </w:r>
            <w:r>
              <w:rPr>
                <w:sz w:val="20"/>
              </w:rPr>
              <w:t>we</w:t>
            </w:r>
            <w:r>
              <w:rPr>
                <w:spacing w:val="-5"/>
                <w:sz w:val="20"/>
              </w:rPr>
              <w:t> </w:t>
            </w:r>
            <w:r>
              <w:rPr>
                <w:sz w:val="20"/>
              </w:rPr>
              <w:t>were</w:t>
            </w:r>
            <w:r>
              <w:rPr>
                <w:spacing w:val="-5"/>
                <w:sz w:val="20"/>
              </w:rPr>
              <w:t> </w:t>
            </w:r>
            <w:r>
              <w:rPr>
                <w:sz w:val="20"/>
              </w:rPr>
              <w:t>not</w:t>
            </w:r>
            <w:r>
              <w:rPr>
                <w:spacing w:val="-5"/>
                <w:sz w:val="20"/>
              </w:rPr>
              <w:t> </w:t>
            </w:r>
            <w:r>
              <w:rPr>
                <w:sz w:val="20"/>
              </w:rPr>
              <w:t>in danger of going over deadline.</w:t>
            </w:r>
          </w:p>
        </w:tc>
        <w:tc>
          <w:tcPr>
            <w:tcW w:w="909" w:type="dxa"/>
          </w:tcPr>
          <w:p>
            <w:pPr>
              <w:pStyle w:val="TableParagraph"/>
              <w:rPr>
                <w:sz w:val="20"/>
              </w:rPr>
            </w:pPr>
          </w:p>
        </w:tc>
        <w:tc>
          <w:tcPr>
            <w:tcW w:w="1161" w:type="dxa"/>
          </w:tcPr>
          <w:p>
            <w:pPr>
              <w:pStyle w:val="TableParagraph"/>
              <w:rPr>
                <w:sz w:val="20"/>
              </w:rPr>
            </w:pPr>
          </w:p>
        </w:tc>
        <w:tc>
          <w:tcPr>
            <w:tcW w:w="1816" w:type="dxa"/>
          </w:tcPr>
          <w:p>
            <w:pPr>
              <w:pStyle w:val="TableParagraph"/>
              <w:rPr>
                <w:sz w:val="20"/>
              </w:rPr>
            </w:pPr>
          </w:p>
        </w:tc>
      </w:tr>
    </w:tbl>
    <w:sectPr>
      <w:type w:val="continuous"/>
      <w:pgSz w:w="15840" w:h="12240" w:orient="landscape"/>
      <w:pgMar w:top="64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Hawkins, Chandler Kris</dc:creator>
  <dc:description/>
  <dcterms:created xsi:type="dcterms:W3CDTF">2024-05-23T17:32:17Z</dcterms:created>
  <dcterms:modified xsi:type="dcterms:W3CDTF">2024-05-23T17:32:17Z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2023-10-05T00:00:00Z</vt:filetime>
  </property>
  <property fmtid="{D5CDD505-2E9C-101B-9397-08002B2CF9AE}" pid="3" name="Creator">
    <vt:lpwstr>Acrobat PDFMaker 23 for Word</vt:lpwstr>
  </property>
  <property fmtid="{D5CDD505-2E9C-101B-9397-08002B2CF9AE}" pid="4" name="LastSaved">
    <vt:filetime>2024-05-23T00:00:00Z</vt:filetime>
  </property>
  <property fmtid="{D5CDD505-2E9C-101B-9397-08002B2CF9AE}" pid="5" name="Producer">
    <vt:lpwstr>Adobe PDF Library 23.6.96</vt:lpwstr>
  </property>
  <property fmtid="{D5CDD505-2E9C-101B-9397-08002B2CF9AE}" pid="6" name="SourceModified">
    <vt:lpwstr>D:20231005155724</vt:lpwstr>
  </property>
</Properties>
</file>