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98" w:lineRule="auto" w:before="61"/>
        <w:ind w:left="2410" w:right="2407"/>
        <w:jc w:val="center"/>
      </w:pPr>
      <w:r>
        <w:rPr/>
        <w:t>Diversity,</w:t>
      </w:r>
      <w:r>
        <w:rPr>
          <w:spacing w:val="-10"/>
        </w:rPr>
        <w:t> </w:t>
      </w:r>
      <w:r>
        <w:rPr/>
        <w:t>Equity</w:t>
      </w:r>
      <w:r>
        <w:rPr>
          <w:spacing w:val="-10"/>
        </w:rPr>
        <w:t> </w:t>
      </w:r>
      <w:r>
        <w:rPr/>
        <w:t>and</w:t>
      </w:r>
      <w:r>
        <w:rPr>
          <w:spacing w:val="-10"/>
        </w:rPr>
        <w:t> </w:t>
      </w:r>
      <w:r>
        <w:rPr/>
        <w:t>Inclusion</w:t>
      </w:r>
      <w:r>
        <w:rPr>
          <w:spacing w:val="-9"/>
        </w:rPr>
        <w:t> </w:t>
      </w:r>
      <w:r>
        <w:rPr/>
        <w:t>Committee End of Year Report</w:t>
      </w:r>
    </w:p>
    <w:p>
      <w:pPr>
        <w:spacing w:line="275" w:lineRule="exact" w:before="0"/>
        <w:ind w:left="2410" w:right="2410" w:firstLine="0"/>
        <w:jc w:val="center"/>
        <w:rPr>
          <w:b/>
          <w:sz w:val="24"/>
        </w:rPr>
      </w:pPr>
      <w:r>
        <w:rPr>
          <w:b/>
          <w:spacing w:val="-2"/>
          <w:sz w:val="24"/>
        </w:rPr>
        <w:t>2020/2021</w:t>
      </w:r>
    </w:p>
    <w:p>
      <w:pPr>
        <w:pStyle w:val="BodyText"/>
        <w:ind w:left="0"/>
        <w:rPr>
          <w:b/>
        </w:rPr>
      </w:pPr>
    </w:p>
    <w:p>
      <w:pPr>
        <w:pStyle w:val="BodyText"/>
        <w:spacing w:before="86"/>
        <w:ind w:left="0"/>
        <w:rPr>
          <w:b/>
        </w:rPr>
      </w:pPr>
    </w:p>
    <w:p>
      <w:pPr>
        <w:pStyle w:val="BodyText"/>
        <w:ind w:left="100"/>
      </w:pPr>
      <w:r>
        <w:rPr/>
        <w:t>April</w:t>
      </w:r>
      <w:r>
        <w:rPr>
          <w:spacing w:val="-1"/>
        </w:rPr>
        <w:t> </w:t>
      </w:r>
      <w:r>
        <w:rPr/>
        <w:t>11, </w:t>
      </w:r>
      <w:r>
        <w:rPr>
          <w:spacing w:val="-4"/>
        </w:rPr>
        <w:t>2021</w:t>
      </w:r>
    </w:p>
    <w:p>
      <w:pPr>
        <w:pStyle w:val="Heading1"/>
        <w:spacing w:before="185"/>
      </w:pPr>
      <w:r>
        <w:rPr/>
        <w:t>Committee</w:t>
      </w:r>
      <w:r>
        <w:rPr>
          <w:spacing w:val="-1"/>
        </w:rPr>
        <w:t> </w:t>
      </w:r>
      <w:r>
        <w:rPr>
          <w:spacing w:val="-2"/>
        </w:rPr>
        <w:t>Membership:</w:t>
      </w:r>
    </w:p>
    <w:p>
      <w:pPr>
        <w:pStyle w:val="BodyText"/>
        <w:spacing w:line="259" w:lineRule="auto" w:before="177"/>
        <w:ind w:left="100"/>
      </w:pPr>
      <w:r>
        <w:rPr/>
        <w:t>Tina O’Neal (co-chair), Amy Pickard (co-chair), Charlotte Agger, Derya Dogan, Aly Elfreich, Marlene</w:t>
      </w:r>
      <w:r>
        <w:rPr>
          <w:spacing w:val="-4"/>
        </w:rPr>
        <w:t> </w:t>
      </w:r>
      <w:r>
        <w:rPr/>
        <w:t>Gardener,</w:t>
      </w:r>
      <w:r>
        <w:rPr>
          <w:spacing w:val="-3"/>
        </w:rPr>
        <w:t> </w:t>
      </w:r>
      <w:r>
        <w:rPr/>
        <w:t>Dan</w:t>
      </w:r>
      <w:r>
        <w:rPr>
          <w:spacing w:val="-5"/>
        </w:rPr>
        <w:t> </w:t>
      </w:r>
      <w:r>
        <w:rPr/>
        <w:t>Hickey,</w:t>
      </w:r>
      <w:r>
        <w:rPr>
          <w:spacing w:val="-4"/>
        </w:rPr>
        <w:t> </w:t>
      </w:r>
      <w:r>
        <w:rPr/>
        <w:t>Dave</w:t>
      </w:r>
      <w:r>
        <w:rPr>
          <w:spacing w:val="-4"/>
        </w:rPr>
        <w:t> </w:t>
      </w:r>
      <w:r>
        <w:rPr/>
        <w:t>Shriberg,</w:t>
      </w:r>
      <w:r>
        <w:rPr>
          <w:spacing w:val="-5"/>
        </w:rPr>
        <w:t> </w:t>
      </w:r>
      <w:r>
        <w:rPr/>
        <w:t>Erik</w:t>
      </w:r>
      <w:r>
        <w:rPr>
          <w:spacing w:val="-4"/>
        </w:rPr>
        <w:t> </w:t>
      </w:r>
      <w:r>
        <w:rPr/>
        <w:t>Tillema,</w:t>
      </w:r>
      <w:r>
        <w:rPr>
          <w:spacing w:val="-4"/>
        </w:rPr>
        <w:t> </w:t>
      </w:r>
      <w:r>
        <w:rPr/>
        <w:t>Ellen</w:t>
      </w:r>
      <w:r>
        <w:rPr>
          <w:spacing w:val="-4"/>
        </w:rPr>
        <w:t> </w:t>
      </w:r>
      <w:r>
        <w:rPr/>
        <w:t>Vaughan</w:t>
      </w:r>
      <w:r>
        <w:rPr>
          <w:b/>
        </w:rPr>
        <w:t>,</w:t>
      </w:r>
      <w:r>
        <w:rPr>
          <w:b/>
          <w:spacing w:val="-4"/>
        </w:rPr>
        <w:t> </w:t>
      </w:r>
      <w:r>
        <w:rPr/>
        <w:t>Quinten</w:t>
      </w:r>
      <w:r>
        <w:rPr>
          <w:spacing w:val="-4"/>
        </w:rPr>
        <w:t> </w:t>
      </w:r>
      <w:r>
        <w:rPr/>
        <w:t>Wheeler- </w:t>
      </w:r>
      <w:r>
        <w:rPr>
          <w:spacing w:val="-2"/>
        </w:rPr>
        <w:t>Bell.</w:t>
      </w:r>
    </w:p>
    <w:p>
      <w:pPr>
        <w:pStyle w:val="Heading1"/>
        <w:spacing w:before="163"/>
      </w:pPr>
      <w:r>
        <w:rPr/>
        <w:t>The</w:t>
      </w:r>
      <w:r>
        <w:rPr>
          <w:spacing w:val="-2"/>
        </w:rPr>
        <w:t> </w:t>
      </w:r>
      <w:r>
        <w:rPr/>
        <w:t>committee</w:t>
      </w:r>
      <w:r>
        <w:rPr>
          <w:spacing w:val="-1"/>
        </w:rPr>
        <w:t> </w:t>
      </w:r>
      <w:r>
        <w:rPr/>
        <w:t>was</w:t>
      </w:r>
      <w:r>
        <w:rPr>
          <w:spacing w:val="-1"/>
        </w:rPr>
        <w:t> </w:t>
      </w:r>
      <w:r>
        <w:rPr/>
        <w:t>divided</w:t>
      </w:r>
      <w:r>
        <w:rPr>
          <w:spacing w:val="-1"/>
        </w:rPr>
        <w:t> </w:t>
      </w:r>
      <w:r>
        <w:rPr/>
        <w:t>into</w:t>
      </w:r>
      <w:r>
        <w:rPr>
          <w:spacing w:val="-1"/>
        </w:rPr>
        <w:t> </w:t>
      </w:r>
      <w:r>
        <w:rPr/>
        <w:t>sub-committees</w:t>
      </w:r>
      <w:r>
        <w:rPr>
          <w:spacing w:val="-1"/>
        </w:rPr>
        <w:t> </w:t>
      </w:r>
      <w:r>
        <w:rPr/>
        <w:t>and</w:t>
      </w:r>
      <w:r>
        <w:rPr>
          <w:spacing w:val="-1"/>
        </w:rPr>
        <w:t> </w:t>
      </w:r>
      <w:r>
        <w:rPr/>
        <w:t>tasked</w:t>
      </w:r>
      <w:r>
        <w:rPr>
          <w:spacing w:val="-2"/>
        </w:rPr>
        <w:t> </w:t>
      </w:r>
      <w:r>
        <w:rPr/>
        <w:t>with</w:t>
      </w:r>
      <w:r>
        <w:rPr>
          <w:spacing w:val="-1"/>
        </w:rPr>
        <w:t> </w:t>
      </w:r>
      <w:r>
        <w:rPr/>
        <w:t>the</w:t>
      </w:r>
      <w:r>
        <w:rPr>
          <w:spacing w:val="-1"/>
        </w:rPr>
        <w:t> </w:t>
      </w:r>
      <w:r>
        <w:rPr/>
        <w:t>following</w:t>
      </w:r>
      <w:r>
        <w:rPr>
          <w:spacing w:val="-1"/>
        </w:rPr>
        <w:t> </w:t>
      </w:r>
      <w:r>
        <w:rPr>
          <w:spacing w:val="-2"/>
        </w:rPr>
        <w:t>charges:</w:t>
      </w:r>
    </w:p>
    <w:p>
      <w:pPr>
        <w:pStyle w:val="BodyText"/>
        <w:spacing w:before="9"/>
        <w:ind w:left="0"/>
        <w:rPr>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6"/>
        <w:gridCol w:w="6661"/>
      </w:tblGrid>
      <w:tr>
        <w:trPr>
          <w:trHeight w:val="1103" w:hRule="atLeast"/>
        </w:trPr>
        <w:tc>
          <w:tcPr>
            <w:tcW w:w="2246" w:type="dxa"/>
          </w:tcPr>
          <w:p>
            <w:pPr>
              <w:pStyle w:val="TableParagraph"/>
              <w:rPr>
                <w:b/>
                <w:sz w:val="24"/>
              </w:rPr>
            </w:pPr>
            <w:r>
              <w:rPr>
                <w:b/>
                <w:sz w:val="24"/>
              </w:rPr>
              <w:t>Charge</w:t>
            </w:r>
            <w:r>
              <w:rPr>
                <w:b/>
                <w:spacing w:val="-1"/>
                <w:sz w:val="24"/>
              </w:rPr>
              <w:t> </w:t>
            </w:r>
            <w:r>
              <w:rPr>
                <w:b/>
                <w:spacing w:val="-10"/>
                <w:sz w:val="24"/>
              </w:rPr>
              <w:t>1</w:t>
            </w:r>
          </w:p>
        </w:tc>
        <w:tc>
          <w:tcPr>
            <w:tcW w:w="6661" w:type="dxa"/>
          </w:tcPr>
          <w:p>
            <w:pPr>
              <w:pStyle w:val="TableParagraph"/>
              <w:spacing w:line="274" w:lineRule="exact"/>
              <w:rPr>
                <w:sz w:val="24"/>
              </w:rPr>
            </w:pPr>
            <w:r>
              <w:rPr>
                <w:sz w:val="24"/>
              </w:rPr>
              <w:t>-Determine</w:t>
            </w:r>
            <w:r>
              <w:rPr>
                <w:spacing w:val="-3"/>
                <w:sz w:val="24"/>
              </w:rPr>
              <w:t> </w:t>
            </w:r>
            <w:r>
              <w:rPr>
                <w:sz w:val="24"/>
              </w:rPr>
              <w:t>role</w:t>
            </w:r>
            <w:r>
              <w:rPr>
                <w:spacing w:val="-1"/>
                <w:sz w:val="24"/>
              </w:rPr>
              <w:t> </w:t>
            </w:r>
            <w:r>
              <w:rPr>
                <w:sz w:val="24"/>
              </w:rPr>
              <w:t>of</w:t>
            </w:r>
            <w:r>
              <w:rPr>
                <w:spacing w:val="-1"/>
                <w:sz w:val="24"/>
              </w:rPr>
              <w:t> </w:t>
            </w:r>
            <w:r>
              <w:rPr>
                <w:sz w:val="24"/>
              </w:rPr>
              <w:t>committee</w:t>
            </w:r>
            <w:r>
              <w:rPr>
                <w:spacing w:val="-1"/>
                <w:sz w:val="24"/>
              </w:rPr>
              <w:t> </w:t>
            </w:r>
            <w:r>
              <w:rPr>
                <w:sz w:val="24"/>
              </w:rPr>
              <w:t>in</w:t>
            </w:r>
            <w:r>
              <w:rPr>
                <w:spacing w:val="-2"/>
                <w:sz w:val="24"/>
              </w:rPr>
              <w:t> </w:t>
            </w:r>
            <w:r>
              <w:rPr>
                <w:sz w:val="24"/>
              </w:rPr>
              <w:t>diversity</w:t>
            </w:r>
            <w:r>
              <w:rPr>
                <w:spacing w:val="-1"/>
                <w:sz w:val="24"/>
              </w:rPr>
              <w:t> </w:t>
            </w:r>
            <w:r>
              <w:rPr>
                <w:sz w:val="24"/>
              </w:rPr>
              <w:t>plan</w:t>
            </w:r>
            <w:r>
              <w:rPr>
                <w:spacing w:val="-1"/>
                <w:sz w:val="24"/>
              </w:rPr>
              <w:t> </w:t>
            </w:r>
            <w:r>
              <w:rPr>
                <w:spacing w:val="-2"/>
                <w:sz w:val="24"/>
              </w:rPr>
              <w:t>implementation</w:t>
            </w:r>
          </w:p>
          <w:p>
            <w:pPr>
              <w:pStyle w:val="TableParagraph"/>
              <w:rPr>
                <w:sz w:val="24"/>
              </w:rPr>
            </w:pPr>
            <w:r>
              <w:rPr>
                <w:sz w:val="24"/>
              </w:rPr>
              <w:t>-Determine</w:t>
            </w:r>
            <w:r>
              <w:rPr>
                <w:spacing w:val="-5"/>
                <w:sz w:val="24"/>
              </w:rPr>
              <w:t> </w:t>
            </w:r>
            <w:r>
              <w:rPr>
                <w:sz w:val="24"/>
              </w:rPr>
              <w:t>relationship</w:t>
            </w:r>
            <w:r>
              <w:rPr>
                <w:spacing w:val="-6"/>
                <w:sz w:val="24"/>
              </w:rPr>
              <w:t> </w:t>
            </w:r>
            <w:r>
              <w:rPr>
                <w:sz w:val="24"/>
              </w:rPr>
              <w:t>between</w:t>
            </w:r>
            <w:r>
              <w:rPr>
                <w:spacing w:val="-5"/>
                <w:sz w:val="24"/>
              </w:rPr>
              <w:t> </w:t>
            </w:r>
            <w:r>
              <w:rPr>
                <w:sz w:val="24"/>
              </w:rPr>
              <w:t>committee</w:t>
            </w:r>
            <w:r>
              <w:rPr>
                <w:spacing w:val="-5"/>
                <w:sz w:val="24"/>
              </w:rPr>
              <w:t> </w:t>
            </w:r>
            <w:r>
              <w:rPr>
                <w:sz w:val="24"/>
              </w:rPr>
              <w:t>and</w:t>
            </w:r>
            <w:r>
              <w:rPr>
                <w:spacing w:val="-6"/>
                <w:sz w:val="24"/>
              </w:rPr>
              <w:t> </w:t>
            </w:r>
            <w:r>
              <w:rPr>
                <w:sz w:val="24"/>
              </w:rPr>
              <w:t>Office</w:t>
            </w:r>
            <w:r>
              <w:rPr>
                <w:spacing w:val="-2"/>
                <w:sz w:val="24"/>
              </w:rPr>
              <w:t> </w:t>
            </w:r>
            <w:r>
              <w:rPr>
                <w:sz w:val="24"/>
              </w:rPr>
              <w:t>of</w:t>
            </w:r>
            <w:r>
              <w:rPr>
                <w:spacing w:val="-5"/>
                <w:sz w:val="24"/>
              </w:rPr>
              <w:t> </w:t>
            </w:r>
            <w:r>
              <w:rPr>
                <w:sz w:val="24"/>
              </w:rPr>
              <w:t>DEI</w:t>
            </w:r>
            <w:r>
              <w:rPr>
                <w:spacing w:val="-5"/>
                <w:sz w:val="24"/>
              </w:rPr>
              <w:t> </w:t>
            </w:r>
            <w:r>
              <w:rPr>
                <w:sz w:val="24"/>
              </w:rPr>
              <w:t>and responsibilities of each</w:t>
            </w:r>
          </w:p>
        </w:tc>
      </w:tr>
      <w:tr>
        <w:trPr>
          <w:trHeight w:val="1380" w:hRule="atLeast"/>
        </w:trPr>
        <w:tc>
          <w:tcPr>
            <w:tcW w:w="2246" w:type="dxa"/>
          </w:tcPr>
          <w:p>
            <w:pPr>
              <w:pStyle w:val="TableParagraph"/>
              <w:rPr>
                <w:b/>
                <w:sz w:val="24"/>
              </w:rPr>
            </w:pPr>
            <w:r>
              <w:rPr>
                <w:b/>
                <w:sz w:val="24"/>
              </w:rPr>
              <w:t>Charge</w:t>
            </w:r>
            <w:r>
              <w:rPr>
                <w:b/>
                <w:spacing w:val="-1"/>
                <w:sz w:val="24"/>
              </w:rPr>
              <w:t> </w:t>
            </w:r>
            <w:r>
              <w:rPr>
                <w:b/>
                <w:spacing w:val="-10"/>
                <w:sz w:val="24"/>
              </w:rPr>
              <w:t>2</w:t>
            </w:r>
          </w:p>
        </w:tc>
        <w:tc>
          <w:tcPr>
            <w:tcW w:w="6661" w:type="dxa"/>
          </w:tcPr>
          <w:p>
            <w:pPr>
              <w:pStyle w:val="TableParagraph"/>
              <w:rPr>
                <w:sz w:val="24"/>
              </w:rPr>
            </w:pPr>
            <w:r>
              <w:rPr>
                <w:sz w:val="24"/>
              </w:rPr>
              <w:t>Organize and facilitate Teach Educate Act (TEA) Talks to create ongoing</w:t>
            </w:r>
            <w:r>
              <w:rPr>
                <w:spacing w:val="-5"/>
                <w:sz w:val="24"/>
              </w:rPr>
              <w:t> </w:t>
            </w:r>
            <w:r>
              <w:rPr>
                <w:sz w:val="24"/>
              </w:rPr>
              <w:t>opportunities</w:t>
            </w:r>
            <w:r>
              <w:rPr>
                <w:spacing w:val="-5"/>
                <w:sz w:val="24"/>
              </w:rPr>
              <w:t> </w:t>
            </w:r>
            <w:r>
              <w:rPr>
                <w:sz w:val="24"/>
              </w:rPr>
              <w:t>for</w:t>
            </w:r>
            <w:r>
              <w:rPr>
                <w:spacing w:val="-5"/>
                <w:sz w:val="24"/>
              </w:rPr>
              <w:t> </w:t>
            </w:r>
            <w:r>
              <w:rPr>
                <w:sz w:val="24"/>
              </w:rPr>
              <w:t>faculty,</w:t>
            </w:r>
            <w:r>
              <w:rPr>
                <w:spacing w:val="-5"/>
                <w:sz w:val="24"/>
              </w:rPr>
              <w:t> </w:t>
            </w:r>
            <w:r>
              <w:rPr>
                <w:sz w:val="24"/>
              </w:rPr>
              <w:t>staff,</w:t>
            </w:r>
            <w:r>
              <w:rPr>
                <w:spacing w:val="-5"/>
                <w:sz w:val="24"/>
              </w:rPr>
              <w:t> </w:t>
            </w:r>
            <w:r>
              <w:rPr>
                <w:sz w:val="24"/>
              </w:rPr>
              <w:t>and</w:t>
            </w:r>
            <w:r>
              <w:rPr>
                <w:spacing w:val="-5"/>
                <w:sz w:val="24"/>
              </w:rPr>
              <w:t> </w:t>
            </w:r>
            <w:r>
              <w:rPr>
                <w:sz w:val="24"/>
              </w:rPr>
              <w:t>students</w:t>
            </w:r>
            <w:r>
              <w:rPr>
                <w:spacing w:val="-5"/>
                <w:sz w:val="24"/>
              </w:rPr>
              <w:t> </w:t>
            </w:r>
            <w:r>
              <w:rPr>
                <w:sz w:val="24"/>
              </w:rPr>
              <w:t>to</w:t>
            </w:r>
            <w:r>
              <w:rPr>
                <w:spacing w:val="-5"/>
                <w:sz w:val="24"/>
              </w:rPr>
              <w:t> </w:t>
            </w:r>
            <w:r>
              <w:rPr>
                <w:sz w:val="24"/>
              </w:rPr>
              <w:t>engage</w:t>
            </w:r>
            <w:r>
              <w:rPr>
                <w:spacing w:val="-5"/>
                <w:sz w:val="24"/>
              </w:rPr>
              <w:t> </w:t>
            </w:r>
            <w:r>
              <w:rPr>
                <w:sz w:val="24"/>
              </w:rPr>
              <w:t>in courageous and risk-taking conversations about DEI. (From diversity plan)</w:t>
            </w:r>
          </w:p>
        </w:tc>
      </w:tr>
      <w:tr>
        <w:trPr>
          <w:trHeight w:val="1103" w:hRule="atLeast"/>
        </w:trPr>
        <w:tc>
          <w:tcPr>
            <w:tcW w:w="2246" w:type="dxa"/>
          </w:tcPr>
          <w:p>
            <w:pPr>
              <w:pStyle w:val="TableParagraph"/>
              <w:rPr>
                <w:b/>
                <w:sz w:val="24"/>
              </w:rPr>
            </w:pPr>
            <w:r>
              <w:rPr>
                <w:b/>
                <w:sz w:val="24"/>
              </w:rPr>
              <w:t>Charge</w:t>
            </w:r>
            <w:r>
              <w:rPr>
                <w:b/>
                <w:spacing w:val="-1"/>
                <w:sz w:val="24"/>
              </w:rPr>
              <w:t> </w:t>
            </w:r>
            <w:r>
              <w:rPr>
                <w:b/>
                <w:spacing w:val="-10"/>
                <w:sz w:val="24"/>
              </w:rPr>
              <w:t>3</w:t>
            </w:r>
          </w:p>
        </w:tc>
        <w:tc>
          <w:tcPr>
            <w:tcW w:w="6661" w:type="dxa"/>
          </w:tcPr>
          <w:p>
            <w:pPr>
              <w:pStyle w:val="TableParagraph"/>
              <w:ind w:right="105"/>
              <w:jc w:val="both"/>
              <w:rPr>
                <w:sz w:val="24"/>
              </w:rPr>
            </w:pPr>
            <w:r>
              <w:rPr>
                <w:sz w:val="24"/>
              </w:rPr>
              <w:t>Develop</w:t>
            </w:r>
            <w:r>
              <w:rPr>
                <w:spacing w:val="-5"/>
                <w:sz w:val="24"/>
              </w:rPr>
              <w:t> </w:t>
            </w:r>
            <w:r>
              <w:rPr>
                <w:sz w:val="24"/>
              </w:rPr>
              <w:t>a</w:t>
            </w:r>
            <w:r>
              <w:rPr>
                <w:spacing w:val="-5"/>
                <w:sz w:val="24"/>
              </w:rPr>
              <w:t> </w:t>
            </w:r>
            <w:r>
              <w:rPr>
                <w:sz w:val="24"/>
              </w:rPr>
              <w:t>search</w:t>
            </w:r>
            <w:r>
              <w:rPr>
                <w:spacing w:val="-5"/>
                <w:sz w:val="24"/>
              </w:rPr>
              <w:t> </w:t>
            </w:r>
            <w:r>
              <w:rPr>
                <w:sz w:val="24"/>
              </w:rPr>
              <w:t>“toolkit”</w:t>
            </w:r>
            <w:r>
              <w:rPr>
                <w:spacing w:val="-5"/>
                <w:sz w:val="24"/>
              </w:rPr>
              <w:t> </w:t>
            </w:r>
            <w:r>
              <w:rPr>
                <w:sz w:val="24"/>
              </w:rPr>
              <w:t>of</w:t>
            </w:r>
            <w:r>
              <w:rPr>
                <w:spacing w:val="-5"/>
                <w:sz w:val="24"/>
              </w:rPr>
              <w:t> </w:t>
            </w:r>
            <w:r>
              <w:rPr>
                <w:sz w:val="24"/>
              </w:rPr>
              <w:t>comprehensive</w:t>
            </w:r>
            <w:r>
              <w:rPr>
                <w:spacing w:val="-5"/>
                <w:sz w:val="24"/>
              </w:rPr>
              <w:t> </w:t>
            </w:r>
            <w:r>
              <w:rPr>
                <w:sz w:val="24"/>
              </w:rPr>
              <w:t>guidelines</w:t>
            </w:r>
            <w:r>
              <w:rPr>
                <w:spacing w:val="-6"/>
                <w:sz w:val="24"/>
              </w:rPr>
              <w:t> </w:t>
            </w:r>
            <w:r>
              <w:rPr>
                <w:sz w:val="24"/>
              </w:rPr>
              <w:t>for</w:t>
            </w:r>
            <w:r>
              <w:rPr>
                <w:spacing w:val="-5"/>
                <w:sz w:val="24"/>
              </w:rPr>
              <w:t> </w:t>
            </w:r>
            <w:r>
              <w:rPr>
                <w:sz w:val="24"/>
              </w:rPr>
              <w:t>faculty searches and a tool kit to explore creative options to attract faculty of color.</w:t>
            </w:r>
          </w:p>
        </w:tc>
      </w:tr>
      <w:tr>
        <w:trPr>
          <w:trHeight w:val="552" w:hRule="atLeast"/>
        </w:trPr>
        <w:tc>
          <w:tcPr>
            <w:tcW w:w="2246" w:type="dxa"/>
          </w:tcPr>
          <w:p>
            <w:pPr>
              <w:pStyle w:val="TableParagraph"/>
              <w:spacing w:before="1"/>
              <w:rPr>
                <w:b/>
                <w:sz w:val="24"/>
              </w:rPr>
            </w:pPr>
            <w:r>
              <w:rPr>
                <w:b/>
                <w:sz w:val="24"/>
              </w:rPr>
              <w:t>Charge</w:t>
            </w:r>
            <w:r>
              <w:rPr>
                <w:b/>
                <w:spacing w:val="-1"/>
                <w:sz w:val="24"/>
              </w:rPr>
              <w:t> </w:t>
            </w:r>
            <w:r>
              <w:rPr>
                <w:b/>
                <w:spacing w:val="-10"/>
                <w:sz w:val="24"/>
              </w:rPr>
              <w:t>4</w:t>
            </w:r>
          </w:p>
        </w:tc>
        <w:tc>
          <w:tcPr>
            <w:tcW w:w="6661" w:type="dxa"/>
          </w:tcPr>
          <w:p>
            <w:pPr>
              <w:pStyle w:val="TableParagraph"/>
              <w:spacing w:line="275" w:lineRule="exact"/>
              <w:rPr>
                <w:sz w:val="24"/>
              </w:rPr>
            </w:pPr>
            <w:r>
              <w:rPr>
                <w:sz w:val="24"/>
              </w:rPr>
              <w:t>Review</w:t>
            </w:r>
            <w:r>
              <w:rPr>
                <w:spacing w:val="-3"/>
                <w:sz w:val="24"/>
              </w:rPr>
              <w:t> </w:t>
            </w:r>
            <w:r>
              <w:rPr>
                <w:sz w:val="24"/>
              </w:rPr>
              <w:t>P&amp;T tenure</w:t>
            </w:r>
            <w:r>
              <w:rPr>
                <w:spacing w:val="-1"/>
                <w:sz w:val="24"/>
              </w:rPr>
              <w:t> </w:t>
            </w:r>
            <w:r>
              <w:rPr>
                <w:sz w:val="24"/>
              </w:rPr>
              <w:t>and</w:t>
            </w:r>
            <w:r>
              <w:rPr>
                <w:spacing w:val="-1"/>
                <w:sz w:val="24"/>
              </w:rPr>
              <w:t> </w:t>
            </w:r>
            <w:r>
              <w:rPr>
                <w:sz w:val="24"/>
              </w:rPr>
              <w:t>promotion </w:t>
            </w:r>
            <w:r>
              <w:rPr>
                <w:spacing w:val="-2"/>
                <w:sz w:val="24"/>
              </w:rPr>
              <w:t>criteria</w:t>
            </w:r>
          </w:p>
        </w:tc>
      </w:tr>
    </w:tbl>
    <w:p>
      <w:pPr>
        <w:pStyle w:val="BodyText"/>
        <w:ind w:left="0"/>
        <w:rPr>
          <w:b/>
        </w:rPr>
      </w:pPr>
    </w:p>
    <w:p>
      <w:pPr>
        <w:pStyle w:val="BodyText"/>
        <w:ind w:left="0"/>
        <w:rPr>
          <w:b/>
        </w:rPr>
      </w:pPr>
    </w:p>
    <w:p>
      <w:pPr>
        <w:pStyle w:val="BodyText"/>
        <w:spacing w:before="90"/>
        <w:ind w:left="0"/>
        <w:rPr>
          <w:b/>
        </w:rPr>
      </w:pPr>
    </w:p>
    <w:p>
      <w:pPr>
        <w:spacing w:before="1"/>
        <w:ind w:left="100" w:right="0" w:firstLine="0"/>
        <w:jc w:val="left"/>
        <w:rPr>
          <w:b/>
          <w:sz w:val="24"/>
        </w:rPr>
      </w:pPr>
      <w:r>
        <w:rPr>
          <w:b/>
          <w:sz w:val="24"/>
        </w:rPr>
        <w:t>Charge</w:t>
      </w:r>
      <w:r>
        <w:rPr>
          <w:b/>
          <w:spacing w:val="-3"/>
          <w:sz w:val="24"/>
        </w:rPr>
        <w:t> </w:t>
      </w:r>
      <w:r>
        <w:rPr>
          <w:b/>
          <w:sz w:val="24"/>
        </w:rPr>
        <w:t>1 (DEI</w:t>
      </w:r>
      <w:r>
        <w:rPr>
          <w:b/>
          <w:spacing w:val="-1"/>
          <w:sz w:val="24"/>
        </w:rPr>
        <w:t> </w:t>
      </w:r>
      <w:r>
        <w:rPr>
          <w:b/>
          <w:sz w:val="24"/>
        </w:rPr>
        <w:t>committee and</w:t>
      </w:r>
      <w:r>
        <w:rPr>
          <w:b/>
          <w:spacing w:val="-1"/>
          <w:sz w:val="24"/>
        </w:rPr>
        <w:t> </w:t>
      </w:r>
      <w:r>
        <w:rPr>
          <w:b/>
          <w:sz w:val="24"/>
        </w:rPr>
        <w:t>ODEI </w:t>
      </w:r>
      <w:r>
        <w:rPr>
          <w:b/>
          <w:spacing w:val="-2"/>
          <w:sz w:val="24"/>
        </w:rPr>
        <w:t>Responsibilities)</w:t>
      </w:r>
    </w:p>
    <w:p>
      <w:pPr>
        <w:pStyle w:val="ListParagraph"/>
        <w:numPr>
          <w:ilvl w:val="0"/>
          <w:numId w:val="1"/>
        </w:numPr>
        <w:tabs>
          <w:tab w:pos="820" w:val="left" w:leader="none"/>
        </w:tabs>
        <w:spacing w:line="240" w:lineRule="auto" w:before="180" w:after="0"/>
        <w:ind w:left="820" w:right="0" w:hanging="360"/>
        <w:jc w:val="left"/>
        <w:rPr>
          <w:rFonts w:ascii="Symbol" w:hAnsi="Symbol"/>
          <w:sz w:val="20"/>
          <w:u w:val="none"/>
        </w:rPr>
      </w:pPr>
      <w:r>
        <w:rPr>
          <w:sz w:val="24"/>
          <w:u w:val="single"/>
        </w:rPr>
        <w:t>Actions and</w:t>
      </w:r>
      <w:r>
        <w:rPr>
          <w:spacing w:val="-1"/>
          <w:sz w:val="24"/>
          <w:u w:val="single"/>
        </w:rPr>
        <w:t> </w:t>
      </w:r>
      <w:r>
        <w:rPr>
          <w:spacing w:val="-2"/>
          <w:sz w:val="24"/>
          <w:u w:val="single"/>
        </w:rPr>
        <w:t>Outcomes:</w:t>
      </w:r>
    </w:p>
    <w:p>
      <w:pPr>
        <w:pStyle w:val="BodyText"/>
        <w:spacing w:before="180"/>
        <w:ind w:right="108"/>
      </w:pPr>
      <w:r>
        <w:rPr>
          <w:color w:val="1F1F1E"/>
        </w:rPr>
        <w:t>To</w:t>
      </w:r>
      <w:r>
        <w:rPr>
          <w:color w:val="1F1F1E"/>
          <w:spacing w:val="-1"/>
        </w:rPr>
        <w:t> </w:t>
      </w:r>
      <w:r>
        <w:rPr/>
        <w:t>determine the relationship and responsibilities between the DEI committee and Office of</w:t>
      </w:r>
      <w:r>
        <w:rPr>
          <w:spacing w:val="-3"/>
        </w:rPr>
        <w:t> </w:t>
      </w:r>
      <w:r>
        <w:rPr/>
        <w:t>DEI</w:t>
      </w:r>
      <w:r>
        <w:rPr>
          <w:spacing w:val="-3"/>
        </w:rPr>
        <w:t> </w:t>
      </w:r>
      <w:r>
        <w:rPr/>
        <w:t>Erik</w:t>
      </w:r>
      <w:r>
        <w:rPr>
          <w:spacing w:val="-3"/>
        </w:rPr>
        <w:t> </w:t>
      </w:r>
      <w:r>
        <w:rPr/>
        <w:t>and</w:t>
      </w:r>
      <w:r>
        <w:rPr>
          <w:spacing w:val="-3"/>
        </w:rPr>
        <w:t> </w:t>
      </w:r>
      <w:r>
        <w:rPr/>
        <w:t>Ellen</w:t>
      </w:r>
      <w:r>
        <w:rPr>
          <w:spacing w:val="-3"/>
        </w:rPr>
        <w:t> </w:t>
      </w:r>
      <w:r>
        <w:rPr>
          <w:color w:val="1F1F1E"/>
        </w:rPr>
        <w:t>has</w:t>
      </w:r>
      <w:r>
        <w:rPr>
          <w:color w:val="1F1F1E"/>
          <w:spacing w:val="-3"/>
        </w:rPr>
        <w:t> </w:t>
      </w:r>
      <w:r>
        <w:rPr>
          <w:color w:val="1F1F1E"/>
        </w:rPr>
        <w:t>drafted</w:t>
      </w:r>
      <w:r>
        <w:rPr>
          <w:color w:val="1F1F1E"/>
          <w:spacing w:val="-3"/>
        </w:rPr>
        <w:t> </w:t>
      </w:r>
      <w:r>
        <w:rPr>
          <w:color w:val="1F1F1E"/>
        </w:rPr>
        <w:t>a</w:t>
      </w:r>
      <w:r>
        <w:rPr>
          <w:color w:val="1F1F1E"/>
          <w:spacing w:val="-4"/>
        </w:rPr>
        <w:t> </w:t>
      </w:r>
      <w:r>
        <w:rPr>
          <w:color w:val="1F1F1E"/>
        </w:rPr>
        <w:t>model</w:t>
      </w:r>
      <w:r>
        <w:rPr>
          <w:color w:val="1F1F1E"/>
          <w:spacing w:val="-3"/>
        </w:rPr>
        <w:t> </w:t>
      </w:r>
      <w:r>
        <w:rPr>
          <w:color w:val="1F1F1E"/>
        </w:rPr>
        <w:t>for</w:t>
      </w:r>
      <w:r>
        <w:rPr>
          <w:color w:val="1F1F1E"/>
          <w:spacing w:val="-3"/>
        </w:rPr>
        <w:t> </w:t>
      </w:r>
      <w:r>
        <w:rPr>
          <w:color w:val="1F1F1E"/>
        </w:rPr>
        <w:t>how</w:t>
      </w:r>
      <w:r>
        <w:rPr>
          <w:color w:val="1F1F1E"/>
          <w:spacing w:val="-3"/>
        </w:rPr>
        <w:t> </w:t>
      </w:r>
      <w:r>
        <w:rPr>
          <w:color w:val="1F1F1E"/>
        </w:rPr>
        <w:t>ODEI</w:t>
      </w:r>
      <w:r>
        <w:rPr>
          <w:color w:val="1F1F1E"/>
          <w:spacing w:val="-3"/>
        </w:rPr>
        <w:t> </w:t>
      </w:r>
      <w:r>
        <w:rPr>
          <w:color w:val="1F1F1E"/>
        </w:rPr>
        <w:t>and</w:t>
      </w:r>
      <w:r>
        <w:rPr>
          <w:color w:val="1F1F1E"/>
          <w:spacing w:val="-3"/>
        </w:rPr>
        <w:t> </w:t>
      </w:r>
      <w:r>
        <w:rPr>
          <w:color w:val="1F1F1E"/>
        </w:rPr>
        <w:t>the</w:t>
      </w:r>
      <w:r>
        <w:rPr>
          <w:color w:val="1F1F1E"/>
          <w:spacing w:val="-3"/>
        </w:rPr>
        <w:t> </w:t>
      </w:r>
      <w:r>
        <w:rPr>
          <w:color w:val="1F1F1E"/>
        </w:rPr>
        <w:t>diversity</w:t>
      </w:r>
      <w:r>
        <w:rPr>
          <w:color w:val="1F1F1E"/>
          <w:spacing w:val="-3"/>
        </w:rPr>
        <w:t> </w:t>
      </w:r>
      <w:r>
        <w:rPr>
          <w:color w:val="1F1F1E"/>
        </w:rPr>
        <w:t>committee</w:t>
      </w:r>
      <w:r>
        <w:rPr>
          <w:color w:val="1F1F1E"/>
          <w:spacing w:val="-3"/>
        </w:rPr>
        <w:t> </w:t>
      </w:r>
      <w:r>
        <w:rPr>
          <w:color w:val="1F1F1E"/>
        </w:rPr>
        <w:t>can function together. Recommendations in the draft include having each department head report</w:t>
      </w:r>
      <w:r>
        <w:rPr>
          <w:color w:val="1F1F1E"/>
          <w:spacing w:val="-1"/>
        </w:rPr>
        <w:t> </w:t>
      </w:r>
      <w:r>
        <w:rPr>
          <w:color w:val="1F1F1E"/>
        </w:rPr>
        <w:t>twice</w:t>
      </w:r>
      <w:r>
        <w:rPr>
          <w:color w:val="1F1F1E"/>
          <w:spacing w:val="-1"/>
        </w:rPr>
        <w:t> </w:t>
      </w:r>
      <w:r>
        <w:rPr>
          <w:color w:val="1F1F1E"/>
        </w:rPr>
        <w:t>to the diversity committee per year; once at the beginning of</w:t>
      </w:r>
      <w:r>
        <w:rPr>
          <w:color w:val="1F1F1E"/>
          <w:spacing w:val="-1"/>
        </w:rPr>
        <w:t> </w:t>
      </w:r>
      <w:r>
        <w:rPr>
          <w:color w:val="1F1F1E"/>
        </w:rPr>
        <w:t>the year</w:t>
      </w:r>
      <w:r>
        <w:rPr>
          <w:color w:val="1F1F1E"/>
          <w:spacing w:val="-1"/>
        </w:rPr>
        <w:t> </w:t>
      </w:r>
      <w:r>
        <w:rPr>
          <w:color w:val="1F1F1E"/>
        </w:rPr>
        <w:t>to state departmental goals related to diversity, equity, and inclusion and once at the end of the year to report on accomplishments related to goals. The draft also outlines that the</w:t>
      </w:r>
    </w:p>
    <w:p>
      <w:pPr>
        <w:pStyle w:val="BodyText"/>
        <w:ind w:right="130"/>
      </w:pPr>
      <w:r>
        <w:rPr>
          <w:color w:val="1F1F1E"/>
        </w:rPr>
        <w:t>diversity</w:t>
      </w:r>
      <w:r>
        <w:rPr>
          <w:color w:val="1F1F1E"/>
          <w:spacing w:val="-3"/>
        </w:rPr>
        <w:t> </w:t>
      </w:r>
      <w:r>
        <w:rPr>
          <w:color w:val="1F1F1E"/>
        </w:rPr>
        <w:t>committee’s</w:t>
      </w:r>
      <w:r>
        <w:rPr>
          <w:color w:val="1F1F1E"/>
          <w:spacing w:val="-4"/>
        </w:rPr>
        <w:t> </w:t>
      </w:r>
      <w:r>
        <w:rPr>
          <w:color w:val="1F1F1E"/>
        </w:rPr>
        <w:t>role</w:t>
      </w:r>
      <w:r>
        <w:rPr>
          <w:color w:val="1F1F1E"/>
          <w:spacing w:val="-2"/>
        </w:rPr>
        <w:t> </w:t>
      </w:r>
      <w:r>
        <w:rPr>
          <w:color w:val="1F1F1E"/>
        </w:rPr>
        <w:t>should</w:t>
      </w:r>
      <w:r>
        <w:rPr>
          <w:color w:val="1F1F1E"/>
          <w:spacing w:val="-3"/>
        </w:rPr>
        <w:t> </w:t>
      </w:r>
      <w:r>
        <w:rPr>
          <w:color w:val="1F1F1E"/>
        </w:rPr>
        <w:t>be</w:t>
      </w:r>
      <w:r>
        <w:rPr>
          <w:color w:val="1F1F1E"/>
          <w:spacing w:val="-4"/>
        </w:rPr>
        <w:t> </w:t>
      </w:r>
      <w:r>
        <w:rPr>
          <w:color w:val="1F1F1E"/>
        </w:rPr>
        <w:t>to</w:t>
      </w:r>
      <w:r>
        <w:rPr>
          <w:color w:val="1F1F1E"/>
          <w:spacing w:val="-3"/>
        </w:rPr>
        <w:t> </w:t>
      </w:r>
      <w:r>
        <w:rPr>
          <w:color w:val="1F1F1E"/>
        </w:rPr>
        <w:t>“discuss</w:t>
      </w:r>
      <w:r>
        <w:rPr>
          <w:color w:val="1F1F1E"/>
          <w:spacing w:val="-3"/>
        </w:rPr>
        <w:t> </w:t>
      </w:r>
      <w:r>
        <w:rPr>
          <w:color w:val="1F1F1E"/>
        </w:rPr>
        <w:t>and</w:t>
      </w:r>
      <w:r>
        <w:rPr>
          <w:color w:val="1F1F1E"/>
          <w:spacing w:val="-3"/>
        </w:rPr>
        <w:t> </w:t>
      </w:r>
      <w:r>
        <w:rPr>
          <w:color w:val="1F1F1E"/>
        </w:rPr>
        <w:t>decide”</w:t>
      </w:r>
      <w:r>
        <w:rPr>
          <w:color w:val="1F1F1E"/>
          <w:spacing w:val="-4"/>
        </w:rPr>
        <w:t> </w:t>
      </w:r>
      <w:r>
        <w:rPr>
          <w:color w:val="1F1F1E"/>
        </w:rPr>
        <w:t>while</w:t>
      </w:r>
      <w:r>
        <w:rPr>
          <w:color w:val="1F1F1E"/>
          <w:spacing w:val="-3"/>
        </w:rPr>
        <w:t> </w:t>
      </w:r>
      <w:r>
        <w:rPr>
          <w:color w:val="1F1F1E"/>
        </w:rPr>
        <w:t>ODEI’s</w:t>
      </w:r>
      <w:r>
        <w:rPr>
          <w:color w:val="1F1F1E"/>
          <w:spacing w:val="-4"/>
        </w:rPr>
        <w:t> </w:t>
      </w:r>
      <w:r>
        <w:rPr>
          <w:color w:val="1F1F1E"/>
        </w:rPr>
        <w:t>role</w:t>
      </w:r>
      <w:r>
        <w:rPr>
          <w:color w:val="1F1F1E"/>
          <w:spacing w:val="-3"/>
        </w:rPr>
        <w:t> </w:t>
      </w:r>
      <w:r>
        <w:rPr>
          <w:color w:val="1F1F1E"/>
        </w:rPr>
        <w:t>would</w:t>
      </w:r>
      <w:r>
        <w:rPr>
          <w:color w:val="1F1F1E"/>
          <w:spacing w:val="-3"/>
        </w:rPr>
        <w:t> </w:t>
      </w:r>
      <w:r>
        <w:rPr>
          <w:color w:val="1F1F1E"/>
        </w:rPr>
        <w:t>be to “develop and implement”. The draft also outlines that the diversity committee’s responsibilities would be to write policy and review diversity plan while ODEI’s</w:t>
      </w:r>
    </w:p>
    <w:p>
      <w:pPr>
        <w:spacing w:after="0"/>
        <w:sectPr>
          <w:type w:val="continuous"/>
          <w:pgSz w:w="12240" w:h="15840"/>
          <w:pgMar w:top="1380" w:bottom="280" w:left="1340" w:right="1340"/>
        </w:sectPr>
      </w:pPr>
    </w:p>
    <w:p>
      <w:pPr>
        <w:pStyle w:val="BodyText"/>
        <w:spacing w:before="78"/>
        <w:ind w:right="130"/>
      </w:pPr>
      <w:r>
        <w:rPr>
          <w:color w:val="1F1F1E"/>
        </w:rPr>
        <w:t>responsibilities would be education, programming, and data storage. The draft outlines that</w:t>
      </w:r>
      <w:r>
        <w:rPr>
          <w:color w:val="1F1F1E"/>
          <w:spacing w:val="-4"/>
        </w:rPr>
        <w:t> </w:t>
      </w:r>
      <w:r>
        <w:rPr>
          <w:color w:val="1F1F1E"/>
        </w:rPr>
        <w:t>the</w:t>
      </w:r>
      <w:r>
        <w:rPr>
          <w:color w:val="1F1F1E"/>
          <w:spacing w:val="-4"/>
        </w:rPr>
        <w:t> </w:t>
      </w:r>
      <w:r>
        <w:rPr>
          <w:color w:val="1F1F1E"/>
        </w:rPr>
        <w:t>relationship</w:t>
      </w:r>
      <w:r>
        <w:rPr>
          <w:color w:val="1F1F1E"/>
          <w:spacing w:val="-4"/>
        </w:rPr>
        <w:t> </w:t>
      </w:r>
      <w:r>
        <w:rPr>
          <w:color w:val="1F1F1E"/>
        </w:rPr>
        <w:t>between</w:t>
      </w:r>
      <w:r>
        <w:rPr>
          <w:color w:val="1F1F1E"/>
          <w:spacing w:val="-4"/>
        </w:rPr>
        <w:t> </w:t>
      </w:r>
      <w:r>
        <w:rPr>
          <w:color w:val="1F1F1E"/>
        </w:rPr>
        <w:t>the</w:t>
      </w:r>
      <w:r>
        <w:rPr>
          <w:color w:val="1F1F1E"/>
          <w:spacing w:val="-4"/>
        </w:rPr>
        <w:t> </w:t>
      </w:r>
      <w:r>
        <w:rPr>
          <w:color w:val="1F1F1E"/>
        </w:rPr>
        <w:t>two</w:t>
      </w:r>
      <w:r>
        <w:rPr>
          <w:color w:val="1F1F1E"/>
          <w:spacing w:val="-3"/>
        </w:rPr>
        <w:t> </w:t>
      </w:r>
      <w:r>
        <w:rPr>
          <w:color w:val="1F1F1E"/>
        </w:rPr>
        <w:t>should</w:t>
      </w:r>
      <w:r>
        <w:rPr>
          <w:color w:val="1F1F1E"/>
          <w:spacing w:val="-4"/>
        </w:rPr>
        <w:t> </w:t>
      </w:r>
      <w:r>
        <w:rPr>
          <w:color w:val="1F1F1E"/>
        </w:rPr>
        <w:t>be</w:t>
      </w:r>
      <w:r>
        <w:rPr>
          <w:color w:val="1F1F1E"/>
          <w:spacing w:val="-5"/>
        </w:rPr>
        <w:t> </w:t>
      </w:r>
      <w:r>
        <w:rPr>
          <w:color w:val="1F1F1E"/>
        </w:rPr>
        <w:t>reciprocal</w:t>
      </w:r>
      <w:r>
        <w:rPr>
          <w:color w:val="1F1F1E"/>
          <w:spacing w:val="-4"/>
        </w:rPr>
        <w:t> </w:t>
      </w:r>
      <w:r>
        <w:rPr>
          <w:color w:val="1F1F1E"/>
        </w:rPr>
        <w:t>where</w:t>
      </w:r>
      <w:r>
        <w:rPr>
          <w:color w:val="1F1F1E"/>
          <w:spacing w:val="-4"/>
        </w:rPr>
        <w:t> </w:t>
      </w:r>
      <w:r>
        <w:rPr>
          <w:color w:val="1F1F1E"/>
        </w:rPr>
        <w:t>this</w:t>
      </w:r>
      <w:r>
        <w:rPr>
          <w:color w:val="1F1F1E"/>
          <w:spacing w:val="-4"/>
        </w:rPr>
        <w:t> </w:t>
      </w:r>
      <w:r>
        <w:rPr>
          <w:color w:val="1F1F1E"/>
        </w:rPr>
        <w:t>relationship</w:t>
      </w:r>
      <w:r>
        <w:rPr>
          <w:color w:val="1F1F1E"/>
          <w:spacing w:val="-4"/>
        </w:rPr>
        <w:t> </w:t>
      </w:r>
      <w:r>
        <w:rPr>
          <w:color w:val="1F1F1E"/>
        </w:rPr>
        <w:t>would be to consult, report, and review.</w:t>
      </w:r>
    </w:p>
    <w:p>
      <w:pPr>
        <w:pStyle w:val="BodyText"/>
        <w:ind w:left="0"/>
      </w:pPr>
    </w:p>
    <w:p>
      <w:pPr>
        <w:pStyle w:val="ListParagraph"/>
        <w:numPr>
          <w:ilvl w:val="0"/>
          <w:numId w:val="1"/>
        </w:numPr>
        <w:tabs>
          <w:tab w:pos="820" w:val="left" w:leader="none"/>
        </w:tabs>
        <w:spacing w:line="240" w:lineRule="auto" w:before="0" w:after="0"/>
        <w:ind w:left="820" w:right="0" w:hanging="360"/>
        <w:jc w:val="left"/>
        <w:rPr>
          <w:rFonts w:ascii="Symbol" w:hAnsi="Symbol"/>
          <w:color w:val="1F1F1E"/>
          <w:sz w:val="20"/>
          <w:u w:val="none"/>
        </w:rPr>
      </w:pPr>
      <w:r>
        <w:rPr>
          <w:sz w:val="24"/>
          <w:u w:val="single"/>
        </w:rPr>
        <w:t>Recommendations</w:t>
      </w:r>
      <w:r>
        <w:rPr>
          <w:spacing w:val="-1"/>
          <w:sz w:val="24"/>
          <w:u w:val="single"/>
        </w:rPr>
        <w:t> </w:t>
      </w:r>
      <w:r>
        <w:rPr>
          <w:sz w:val="24"/>
          <w:u w:val="single"/>
        </w:rPr>
        <w:t>for</w:t>
      </w:r>
      <w:r>
        <w:rPr>
          <w:spacing w:val="-1"/>
          <w:sz w:val="24"/>
          <w:u w:val="single"/>
        </w:rPr>
        <w:t> </w:t>
      </w:r>
      <w:r>
        <w:rPr>
          <w:sz w:val="24"/>
          <w:u w:val="single"/>
        </w:rPr>
        <w:t>Future</w:t>
      </w:r>
      <w:r>
        <w:rPr>
          <w:spacing w:val="-1"/>
          <w:sz w:val="24"/>
          <w:u w:val="single"/>
        </w:rPr>
        <w:t> </w:t>
      </w:r>
      <w:r>
        <w:rPr>
          <w:spacing w:val="-2"/>
          <w:sz w:val="24"/>
          <w:u w:val="single"/>
        </w:rPr>
        <w:t>Action</w:t>
      </w:r>
    </w:p>
    <w:p>
      <w:pPr>
        <w:pStyle w:val="BodyText"/>
      </w:pPr>
      <w:r>
        <w:rPr>
          <w:color w:val="1F1F1E"/>
        </w:rPr>
        <w:t>We</w:t>
      </w:r>
      <w:r>
        <w:rPr>
          <w:color w:val="1F1F1E"/>
          <w:spacing w:val="-3"/>
        </w:rPr>
        <w:t> </w:t>
      </w:r>
      <w:r>
        <w:rPr>
          <w:color w:val="1F1F1E"/>
        </w:rPr>
        <w:t>need</w:t>
      </w:r>
      <w:r>
        <w:rPr>
          <w:color w:val="1F1F1E"/>
          <w:spacing w:val="-3"/>
        </w:rPr>
        <w:t> </w:t>
      </w:r>
      <w:r>
        <w:rPr>
          <w:color w:val="1F1F1E"/>
        </w:rPr>
        <w:t>to</w:t>
      </w:r>
      <w:r>
        <w:rPr>
          <w:color w:val="1F1F1E"/>
          <w:spacing w:val="-3"/>
        </w:rPr>
        <w:t> </w:t>
      </w:r>
      <w:r>
        <w:rPr>
          <w:color w:val="1F1F1E"/>
        </w:rPr>
        <w:t>present</w:t>
      </w:r>
      <w:r>
        <w:rPr>
          <w:color w:val="1F1F1E"/>
          <w:spacing w:val="-4"/>
        </w:rPr>
        <w:t> </w:t>
      </w:r>
      <w:r>
        <w:rPr>
          <w:color w:val="1F1F1E"/>
        </w:rPr>
        <w:t>the</w:t>
      </w:r>
      <w:r>
        <w:rPr>
          <w:color w:val="1F1F1E"/>
          <w:spacing w:val="-3"/>
        </w:rPr>
        <w:t> </w:t>
      </w:r>
      <w:r>
        <w:rPr>
          <w:color w:val="1F1F1E"/>
        </w:rPr>
        <w:t>model</w:t>
      </w:r>
      <w:r>
        <w:rPr>
          <w:color w:val="1F1F1E"/>
          <w:spacing w:val="-3"/>
        </w:rPr>
        <w:t> </w:t>
      </w:r>
      <w:r>
        <w:rPr>
          <w:color w:val="1F1F1E"/>
        </w:rPr>
        <w:t>to</w:t>
      </w:r>
      <w:r>
        <w:rPr>
          <w:color w:val="1F1F1E"/>
          <w:spacing w:val="-3"/>
        </w:rPr>
        <w:t> </w:t>
      </w:r>
      <w:r>
        <w:rPr>
          <w:color w:val="1F1F1E"/>
        </w:rPr>
        <w:t>the</w:t>
      </w:r>
      <w:r>
        <w:rPr>
          <w:color w:val="1F1F1E"/>
          <w:spacing w:val="-3"/>
        </w:rPr>
        <w:t> </w:t>
      </w:r>
      <w:r>
        <w:rPr>
          <w:color w:val="1F1F1E"/>
        </w:rPr>
        <w:t>committee,</w:t>
      </w:r>
      <w:r>
        <w:rPr>
          <w:color w:val="1F1F1E"/>
          <w:spacing w:val="-3"/>
        </w:rPr>
        <w:t> </w:t>
      </w:r>
      <w:r>
        <w:rPr>
          <w:color w:val="1F1F1E"/>
        </w:rPr>
        <w:t>get</w:t>
      </w:r>
      <w:r>
        <w:rPr>
          <w:color w:val="1F1F1E"/>
          <w:spacing w:val="-3"/>
        </w:rPr>
        <w:t> </w:t>
      </w:r>
      <w:r>
        <w:rPr>
          <w:color w:val="1F1F1E"/>
        </w:rPr>
        <w:t>feedback</w:t>
      </w:r>
      <w:r>
        <w:rPr>
          <w:color w:val="1F1F1E"/>
          <w:spacing w:val="-5"/>
        </w:rPr>
        <w:t> </w:t>
      </w:r>
      <w:r>
        <w:rPr>
          <w:color w:val="1F1F1E"/>
        </w:rPr>
        <w:t>on</w:t>
      </w:r>
      <w:r>
        <w:rPr>
          <w:color w:val="1F1F1E"/>
          <w:spacing w:val="-3"/>
        </w:rPr>
        <w:t> </w:t>
      </w:r>
      <w:r>
        <w:rPr>
          <w:color w:val="1F1F1E"/>
        </w:rPr>
        <w:t>it,</w:t>
      </w:r>
      <w:r>
        <w:rPr>
          <w:color w:val="1F1F1E"/>
          <w:spacing w:val="-3"/>
        </w:rPr>
        <w:t> </w:t>
      </w:r>
      <w:r>
        <w:rPr>
          <w:color w:val="1F1F1E"/>
        </w:rPr>
        <w:t>and</w:t>
      </w:r>
      <w:r>
        <w:rPr>
          <w:color w:val="1F1F1E"/>
          <w:spacing w:val="-4"/>
        </w:rPr>
        <w:t> </w:t>
      </w:r>
      <w:r>
        <w:rPr>
          <w:color w:val="1F1F1E"/>
        </w:rPr>
        <w:t>then</w:t>
      </w:r>
      <w:r>
        <w:rPr>
          <w:color w:val="1F1F1E"/>
          <w:spacing w:val="-3"/>
        </w:rPr>
        <w:t> </w:t>
      </w:r>
      <w:r>
        <w:rPr>
          <w:color w:val="1F1F1E"/>
        </w:rPr>
        <w:t>implement facets of it.</w:t>
      </w:r>
    </w:p>
    <w:p>
      <w:pPr>
        <w:pStyle w:val="BodyText"/>
        <w:ind w:left="0"/>
      </w:pPr>
    </w:p>
    <w:p>
      <w:pPr>
        <w:pStyle w:val="BodyText"/>
        <w:spacing w:before="4"/>
        <w:ind w:left="0"/>
      </w:pPr>
    </w:p>
    <w:p>
      <w:pPr>
        <w:pStyle w:val="Heading1"/>
      </w:pPr>
      <w:r>
        <w:rPr/>
        <w:t>Charge</w:t>
      </w:r>
      <w:r>
        <w:rPr>
          <w:spacing w:val="-1"/>
        </w:rPr>
        <w:t> </w:t>
      </w:r>
      <w:r>
        <w:rPr/>
        <w:t>2 (DEI</w:t>
      </w:r>
      <w:r>
        <w:rPr>
          <w:spacing w:val="-1"/>
        </w:rPr>
        <w:t> </w:t>
      </w:r>
      <w:r>
        <w:rPr/>
        <w:t>Tea </w:t>
      </w:r>
      <w:r>
        <w:rPr>
          <w:spacing w:val="-2"/>
        </w:rPr>
        <w:t>Talks)</w:t>
      </w:r>
    </w:p>
    <w:p>
      <w:pPr>
        <w:pStyle w:val="ListParagraph"/>
        <w:numPr>
          <w:ilvl w:val="0"/>
          <w:numId w:val="1"/>
        </w:numPr>
        <w:tabs>
          <w:tab w:pos="820" w:val="left" w:leader="none"/>
        </w:tabs>
        <w:spacing w:line="240" w:lineRule="auto" w:before="177" w:after="0"/>
        <w:ind w:left="820" w:right="0" w:hanging="360"/>
        <w:jc w:val="left"/>
        <w:rPr>
          <w:rFonts w:ascii="Symbol" w:hAnsi="Symbol"/>
          <w:sz w:val="20"/>
          <w:u w:val="none"/>
        </w:rPr>
      </w:pPr>
      <w:r>
        <w:rPr>
          <w:sz w:val="24"/>
          <w:u w:val="single"/>
        </w:rPr>
        <w:t>Actions and</w:t>
      </w:r>
      <w:r>
        <w:rPr>
          <w:spacing w:val="-1"/>
          <w:sz w:val="24"/>
          <w:u w:val="single"/>
        </w:rPr>
        <w:t> </w:t>
      </w:r>
      <w:r>
        <w:rPr>
          <w:spacing w:val="-2"/>
          <w:sz w:val="24"/>
          <w:u w:val="single"/>
        </w:rPr>
        <w:t>Outcomes:</w:t>
      </w:r>
    </w:p>
    <w:p>
      <w:pPr>
        <w:pStyle w:val="BodyText"/>
        <w:spacing w:line="259" w:lineRule="auto" w:before="23"/>
        <w:ind w:right="108"/>
      </w:pPr>
      <w:r>
        <w:rPr>
          <w:color w:val="1F1F1E"/>
        </w:rPr>
        <w:t>Three</w:t>
      </w:r>
      <w:r>
        <w:rPr>
          <w:color w:val="1F1F1E"/>
          <w:spacing w:val="-3"/>
        </w:rPr>
        <w:t> </w:t>
      </w:r>
      <w:r>
        <w:rPr>
          <w:color w:val="1F1F1E"/>
        </w:rPr>
        <w:t>TEA</w:t>
      </w:r>
      <w:r>
        <w:rPr>
          <w:color w:val="1F1F1E"/>
          <w:spacing w:val="-4"/>
        </w:rPr>
        <w:t> </w:t>
      </w:r>
      <w:r>
        <w:rPr>
          <w:color w:val="1F1F1E"/>
        </w:rPr>
        <w:t>talks</w:t>
      </w:r>
      <w:r>
        <w:rPr>
          <w:color w:val="1F1F1E"/>
          <w:spacing w:val="-3"/>
        </w:rPr>
        <w:t> </w:t>
      </w:r>
      <w:r>
        <w:rPr>
          <w:color w:val="1F1F1E"/>
        </w:rPr>
        <w:t>have</w:t>
      </w:r>
      <w:r>
        <w:rPr>
          <w:color w:val="1F1F1E"/>
          <w:spacing w:val="-3"/>
        </w:rPr>
        <w:t> </w:t>
      </w:r>
      <w:r>
        <w:rPr>
          <w:color w:val="1F1F1E"/>
        </w:rPr>
        <w:t>been</w:t>
      </w:r>
      <w:r>
        <w:rPr>
          <w:color w:val="1F1F1E"/>
          <w:spacing w:val="-3"/>
        </w:rPr>
        <w:t> </w:t>
      </w:r>
      <w:r>
        <w:rPr>
          <w:color w:val="1F1F1E"/>
        </w:rPr>
        <w:t>held</w:t>
      </w:r>
      <w:r>
        <w:rPr>
          <w:color w:val="1F1F1E"/>
          <w:spacing w:val="-3"/>
        </w:rPr>
        <w:t> </w:t>
      </w:r>
      <w:r>
        <w:rPr>
          <w:color w:val="1F1F1E"/>
        </w:rPr>
        <w:t>as</w:t>
      </w:r>
      <w:r>
        <w:rPr>
          <w:color w:val="1F1F1E"/>
          <w:spacing w:val="-3"/>
        </w:rPr>
        <w:t> </w:t>
      </w:r>
      <w:r>
        <w:rPr>
          <w:color w:val="1F1F1E"/>
        </w:rPr>
        <w:t>of</w:t>
      </w:r>
      <w:r>
        <w:rPr>
          <w:color w:val="1F1F1E"/>
          <w:spacing w:val="-5"/>
        </w:rPr>
        <w:t> </w:t>
      </w:r>
      <w:r>
        <w:rPr>
          <w:color w:val="1F1F1E"/>
        </w:rPr>
        <w:t>this</w:t>
      </w:r>
      <w:r>
        <w:rPr>
          <w:color w:val="1F1F1E"/>
          <w:spacing w:val="-3"/>
        </w:rPr>
        <w:t> </w:t>
      </w:r>
      <w:r>
        <w:rPr>
          <w:color w:val="1F1F1E"/>
        </w:rPr>
        <w:t>writing</w:t>
      </w:r>
      <w:r>
        <w:rPr>
          <w:color w:val="1F1F1E"/>
          <w:spacing w:val="-4"/>
        </w:rPr>
        <w:t> </w:t>
      </w:r>
      <w:r>
        <w:rPr>
          <w:color w:val="1F1F1E"/>
        </w:rPr>
        <w:t>and</w:t>
      </w:r>
      <w:r>
        <w:rPr>
          <w:color w:val="1F1F1E"/>
          <w:spacing w:val="-3"/>
        </w:rPr>
        <w:t> </w:t>
      </w:r>
      <w:r>
        <w:rPr>
          <w:color w:val="1F1F1E"/>
        </w:rPr>
        <w:t>a</w:t>
      </w:r>
      <w:r>
        <w:rPr>
          <w:color w:val="1F1F1E"/>
          <w:spacing w:val="-3"/>
        </w:rPr>
        <w:t> </w:t>
      </w:r>
      <w:r>
        <w:rPr>
          <w:color w:val="1F1F1E"/>
        </w:rPr>
        <w:t>fourth</w:t>
      </w:r>
      <w:r>
        <w:rPr>
          <w:color w:val="1F1F1E"/>
          <w:spacing w:val="-2"/>
        </w:rPr>
        <w:t> </w:t>
      </w:r>
      <w:r>
        <w:rPr>
          <w:color w:val="1F1F1E"/>
        </w:rPr>
        <w:t>is</w:t>
      </w:r>
      <w:r>
        <w:rPr>
          <w:color w:val="1F1F1E"/>
          <w:spacing w:val="-3"/>
        </w:rPr>
        <w:t> </w:t>
      </w:r>
      <w:r>
        <w:rPr>
          <w:color w:val="1F1F1E"/>
        </w:rPr>
        <w:t>scheduled</w:t>
      </w:r>
      <w:r>
        <w:rPr>
          <w:color w:val="1F1F1E"/>
          <w:spacing w:val="-3"/>
        </w:rPr>
        <w:t> </w:t>
      </w:r>
      <w:r>
        <w:rPr>
          <w:color w:val="1F1F1E"/>
        </w:rPr>
        <w:t>for</w:t>
      </w:r>
      <w:r>
        <w:rPr>
          <w:color w:val="1F1F1E"/>
          <w:spacing w:val="-3"/>
        </w:rPr>
        <w:t> </w:t>
      </w:r>
      <w:r>
        <w:rPr>
          <w:color w:val="1F1F1E"/>
        </w:rPr>
        <w:t>April</w:t>
      </w:r>
      <w:r>
        <w:rPr>
          <w:color w:val="1F1F1E"/>
          <w:spacing w:val="-3"/>
        </w:rPr>
        <w:t> </w:t>
      </w:r>
      <w:r>
        <w:rPr>
          <w:color w:val="1F1F1E"/>
        </w:rPr>
        <w:t>16. The first three were for the entire SoE community and the fourth speaker will be doing one session for the entire SoE community and another just for students (undergraduate and graduate). These events have been well attended and all spoke directly to the</w:t>
      </w:r>
      <w:r>
        <w:rPr>
          <w:color w:val="1F1F1E"/>
          <w:spacing w:val="-1"/>
        </w:rPr>
        <w:t> </w:t>
      </w:r>
      <w:r>
        <w:rPr>
          <w:color w:val="1F1F1E"/>
        </w:rPr>
        <w:t>role</w:t>
      </w:r>
      <w:r>
        <w:rPr>
          <w:color w:val="1F1F1E"/>
          <w:spacing w:val="-1"/>
        </w:rPr>
        <w:t> </w:t>
      </w:r>
      <w:r>
        <w:rPr>
          <w:color w:val="1F1F1E"/>
        </w:rPr>
        <w:t>of race in education.</w:t>
      </w:r>
    </w:p>
    <w:p>
      <w:pPr>
        <w:pStyle w:val="ListParagraph"/>
        <w:numPr>
          <w:ilvl w:val="0"/>
          <w:numId w:val="1"/>
        </w:numPr>
        <w:tabs>
          <w:tab w:pos="820" w:val="left" w:leader="none"/>
        </w:tabs>
        <w:spacing w:line="240" w:lineRule="auto" w:before="159" w:after="0"/>
        <w:ind w:left="820" w:right="0" w:hanging="360"/>
        <w:jc w:val="left"/>
        <w:rPr>
          <w:rFonts w:ascii="Symbol" w:hAnsi="Symbol"/>
          <w:color w:val="1F1F1E"/>
          <w:sz w:val="20"/>
          <w:u w:val="none"/>
        </w:rPr>
      </w:pPr>
      <w:r>
        <w:rPr>
          <w:sz w:val="24"/>
          <w:u w:val="single"/>
        </w:rPr>
        <w:t>Recommendations</w:t>
      </w:r>
      <w:r>
        <w:rPr>
          <w:spacing w:val="-1"/>
          <w:sz w:val="24"/>
          <w:u w:val="single"/>
        </w:rPr>
        <w:t> </w:t>
      </w:r>
      <w:r>
        <w:rPr>
          <w:sz w:val="24"/>
          <w:u w:val="single"/>
        </w:rPr>
        <w:t>for</w:t>
      </w:r>
      <w:r>
        <w:rPr>
          <w:spacing w:val="-1"/>
          <w:sz w:val="24"/>
          <w:u w:val="single"/>
        </w:rPr>
        <w:t> </w:t>
      </w:r>
      <w:r>
        <w:rPr>
          <w:sz w:val="24"/>
          <w:u w:val="single"/>
        </w:rPr>
        <w:t>Future</w:t>
      </w:r>
      <w:r>
        <w:rPr>
          <w:spacing w:val="-1"/>
          <w:sz w:val="24"/>
          <w:u w:val="single"/>
        </w:rPr>
        <w:t> </w:t>
      </w:r>
      <w:r>
        <w:rPr>
          <w:spacing w:val="-2"/>
          <w:sz w:val="24"/>
          <w:u w:val="single"/>
        </w:rPr>
        <w:t>Action</w:t>
      </w:r>
    </w:p>
    <w:p>
      <w:pPr>
        <w:pStyle w:val="BodyText"/>
        <w:spacing w:line="259" w:lineRule="auto"/>
        <w:ind w:right="130"/>
      </w:pPr>
      <w:r>
        <w:rPr>
          <w:color w:val="1F1F1E"/>
        </w:rPr>
        <w:t>TEA talks are an opportunity to spotlight students, staff, faculty and alumni. Moving forward, we would like to continue the focus on race and education. We will be discussing</w:t>
      </w:r>
      <w:r>
        <w:rPr>
          <w:color w:val="1F1F1E"/>
          <w:spacing w:val="-3"/>
        </w:rPr>
        <w:t> </w:t>
      </w:r>
      <w:r>
        <w:rPr>
          <w:color w:val="1F1F1E"/>
        </w:rPr>
        <w:t>plans</w:t>
      </w:r>
      <w:r>
        <w:rPr>
          <w:color w:val="1F1F1E"/>
          <w:spacing w:val="-3"/>
        </w:rPr>
        <w:t> </w:t>
      </w:r>
      <w:r>
        <w:rPr>
          <w:color w:val="1F1F1E"/>
        </w:rPr>
        <w:t>for</w:t>
      </w:r>
      <w:r>
        <w:rPr>
          <w:color w:val="1F1F1E"/>
          <w:spacing w:val="-3"/>
        </w:rPr>
        <w:t> </w:t>
      </w:r>
      <w:r>
        <w:rPr>
          <w:color w:val="1F1F1E"/>
        </w:rPr>
        <w:t>future</w:t>
      </w:r>
      <w:r>
        <w:rPr>
          <w:color w:val="1F1F1E"/>
          <w:spacing w:val="-3"/>
        </w:rPr>
        <w:t> </w:t>
      </w:r>
      <w:r>
        <w:rPr>
          <w:color w:val="1F1F1E"/>
        </w:rPr>
        <w:t>TEA</w:t>
      </w:r>
      <w:r>
        <w:rPr>
          <w:color w:val="1F1F1E"/>
          <w:spacing w:val="-4"/>
        </w:rPr>
        <w:t> </w:t>
      </w:r>
      <w:r>
        <w:rPr>
          <w:color w:val="1F1F1E"/>
        </w:rPr>
        <w:t>talks</w:t>
      </w:r>
      <w:r>
        <w:rPr>
          <w:color w:val="1F1F1E"/>
          <w:spacing w:val="-4"/>
        </w:rPr>
        <w:t> </w:t>
      </w:r>
      <w:r>
        <w:rPr>
          <w:color w:val="1F1F1E"/>
        </w:rPr>
        <w:t>at</w:t>
      </w:r>
      <w:r>
        <w:rPr>
          <w:color w:val="1F1F1E"/>
          <w:spacing w:val="-3"/>
        </w:rPr>
        <w:t> </w:t>
      </w:r>
      <w:r>
        <w:rPr>
          <w:color w:val="1F1F1E"/>
        </w:rPr>
        <w:t>the</w:t>
      </w:r>
      <w:r>
        <w:rPr>
          <w:color w:val="1F1F1E"/>
          <w:spacing w:val="-3"/>
        </w:rPr>
        <w:t> </w:t>
      </w:r>
      <w:r>
        <w:rPr>
          <w:color w:val="1F1F1E"/>
        </w:rPr>
        <w:t>next</w:t>
      </w:r>
      <w:r>
        <w:rPr>
          <w:color w:val="1F1F1E"/>
          <w:spacing w:val="-3"/>
        </w:rPr>
        <w:t> </w:t>
      </w:r>
      <w:r>
        <w:rPr>
          <w:color w:val="1F1F1E"/>
        </w:rPr>
        <w:t>Diversity</w:t>
      </w:r>
      <w:r>
        <w:rPr>
          <w:color w:val="1F1F1E"/>
          <w:spacing w:val="-3"/>
        </w:rPr>
        <w:t> </w:t>
      </w:r>
      <w:r>
        <w:rPr>
          <w:color w:val="1F1F1E"/>
        </w:rPr>
        <w:t>Committee</w:t>
      </w:r>
      <w:r>
        <w:rPr>
          <w:color w:val="1F1F1E"/>
          <w:spacing w:val="-3"/>
        </w:rPr>
        <w:t> </w:t>
      </w:r>
      <w:r>
        <w:rPr>
          <w:color w:val="1F1F1E"/>
        </w:rPr>
        <w:t>meeting</w:t>
      </w:r>
      <w:r>
        <w:rPr>
          <w:color w:val="1F1F1E"/>
          <w:spacing w:val="-3"/>
        </w:rPr>
        <w:t> </w:t>
      </w:r>
      <w:r>
        <w:rPr>
          <w:color w:val="1F1F1E"/>
        </w:rPr>
        <w:t>on</w:t>
      </w:r>
      <w:r>
        <w:rPr>
          <w:color w:val="1F1F1E"/>
          <w:spacing w:val="-3"/>
        </w:rPr>
        <w:t> </w:t>
      </w:r>
      <w:r>
        <w:rPr>
          <w:color w:val="1F1F1E"/>
        </w:rPr>
        <w:t>April </w:t>
      </w:r>
      <w:r>
        <w:rPr>
          <w:color w:val="1F1F1E"/>
          <w:spacing w:val="-4"/>
        </w:rPr>
        <w:t>19.</w:t>
      </w:r>
    </w:p>
    <w:p>
      <w:pPr>
        <w:pStyle w:val="BodyText"/>
        <w:ind w:left="0"/>
      </w:pPr>
    </w:p>
    <w:p>
      <w:pPr>
        <w:pStyle w:val="BodyText"/>
        <w:spacing w:before="68"/>
        <w:ind w:left="0"/>
      </w:pPr>
    </w:p>
    <w:p>
      <w:pPr>
        <w:pStyle w:val="Heading1"/>
      </w:pPr>
      <w:r>
        <w:rPr/>
        <w:t>Charge</w:t>
      </w:r>
      <w:r>
        <w:rPr>
          <w:spacing w:val="-1"/>
        </w:rPr>
        <w:t> </w:t>
      </w:r>
      <w:r>
        <w:rPr/>
        <w:t>3 (DEI</w:t>
      </w:r>
      <w:r>
        <w:rPr>
          <w:spacing w:val="-2"/>
        </w:rPr>
        <w:t> </w:t>
      </w:r>
      <w:r>
        <w:rPr/>
        <w:t>Hiring/Recruiting</w:t>
      </w:r>
      <w:r>
        <w:rPr>
          <w:spacing w:val="-1"/>
        </w:rPr>
        <w:t> </w:t>
      </w:r>
      <w:r>
        <w:rPr/>
        <w:t>Tool </w:t>
      </w:r>
      <w:r>
        <w:rPr>
          <w:spacing w:val="-4"/>
        </w:rPr>
        <w:t>Kit)</w:t>
      </w:r>
    </w:p>
    <w:p>
      <w:pPr>
        <w:pStyle w:val="ListParagraph"/>
        <w:numPr>
          <w:ilvl w:val="0"/>
          <w:numId w:val="1"/>
        </w:numPr>
        <w:tabs>
          <w:tab w:pos="820" w:val="left" w:leader="none"/>
        </w:tabs>
        <w:spacing w:line="240" w:lineRule="auto" w:before="179" w:after="0"/>
        <w:ind w:left="820" w:right="0" w:hanging="360"/>
        <w:jc w:val="left"/>
        <w:rPr>
          <w:rFonts w:ascii="Symbol" w:hAnsi="Symbol"/>
          <w:sz w:val="20"/>
          <w:u w:val="none"/>
        </w:rPr>
      </w:pPr>
      <w:r>
        <w:rPr>
          <w:sz w:val="24"/>
          <w:u w:val="single"/>
        </w:rPr>
        <w:t>Actions and</w:t>
      </w:r>
      <w:r>
        <w:rPr>
          <w:spacing w:val="-1"/>
          <w:sz w:val="24"/>
          <w:u w:val="single"/>
        </w:rPr>
        <w:t> </w:t>
      </w:r>
      <w:r>
        <w:rPr>
          <w:spacing w:val="-2"/>
          <w:sz w:val="24"/>
          <w:u w:val="single"/>
        </w:rPr>
        <w:t>Outcomes:</w:t>
      </w:r>
    </w:p>
    <w:p>
      <w:pPr>
        <w:pStyle w:val="BodyText"/>
        <w:spacing w:line="261" w:lineRule="auto" w:before="22"/>
      </w:pPr>
      <w:r>
        <w:rPr>
          <w:color w:val="1F1F1E"/>
        </w:rPr>
        <w:t>We met multiple times during the year and reviewed existing guidelines and toolkits for recruiting</w:t>
      </w:r>
      <w:r>
        <w:rPr>
          <w:color w:val="1F1F1E"/>
          <w:spacing w:val="-3"/>
        </w:rPr>
        <w:t> </w:t>
      </w:r>
      <w:r>
        <w:rPr>
          <w:color w:val="1F1F1E"/>
        </w:rPr>
        <w:t>and</w:t>
      </w:r>
      <w:r>
        <w:rPr>
          <w:color w:val="1F1F1E"/>
          <w:spacing w:val="-4"/>
        </w:rPr>
        <w:t> </w:t>
      </w:r>
      <w:r>
        <w:rPr>
          <w:color w:val="1F1F1E"/>
        </w:rPr>
        <w:t>retaining</w:t>
      </w:r>
      <w:r>
        <w:rPr>
          <w:color w:val="1F1F1E"/>
          <w:spacing w:val="-3"/>
        </w:rPr>
        <w:t> </w:t>
      </w:r>
      <w:r>
        <w:rPr>
          <w:color w:val="1F1F1E"/>
        </w:rPr>
        <w:t>faculty</w:t>
      </w:r>
      <w:r>
        <w:rPr>
          <w:color w:val="1F1F1E"/>
          <w:spacing w:val="-3"/>
        </w:rPr>
        <w:t> </w:t>
      </w:r>
      <w:r>
        <w:rPr>
          <w:color w:val="1F1F1E"/>
        </w:rPr>
        <w:t>of</w:t>
      </w:r>
      <w:r>
        <w:rPr>
          <w:color w:val="1F1F1E"/>
          <w:spacing w:val="-3"/>
        </w:rPr>
        <w:t> </w:t>
      </w:r>
      <w:r>
        <w:rPr>
          <w:color w:val="1F1F1E"/>
        </w:rPr>
        <w:t>color</w:t>
      </w:r>
      <w:r>
        <w:rPr>
          <w:color w:val="1F1F1E"/>
          <w:spacing w:val="35"/>
        </w:rPr>
        <w:t> </w:t>
      </w:r>
      <w:r>
        <w:rPr>
          <w:color w:val="1F1F1E"/>
        </w:rPr>
        <w:t>produced</w:t>
      </w:r>
      <w:r>
        <w:rPr>
          <w:color w:val="1F1F1E"/>
          <w:spacing w:val="-3"/>
        </w:rPr>
        <w:t> </w:t>
      </w:r>
      <w:r>
        <w:rPr>
          <w:color w:val="1F1F1E"/>
        </w:rPr>
        <w:t>by</w:t>
      </w:r>
      <w:r>
        <w:rPr>
          <w:color w:val="1F1F1E"/>
          <w:spacing w:val="-3"/>
        </w:rPr>
        <w:t> </w:t>
      </w:r>
      <w:r>
        <w:rPr>
          <w:color w:val="1F1F1E"/>
        </w:rPr>
        <w:t>IU</w:t>
      </w:r>
      <w:r>
        <w:rPr>
          <w:color w:val="1F1F1E"/>
          <w:spacing w:val="-3"/>
        </w:rPr>
        <w:t> </w:t>
      </w:r>
      <w:r>
        <w:rPr>
          <w:color w:val="1F1F1E"/>
        </w:rPr>
        <w:t>DEMA,</w:t>
      </w:r>
      <w:r>
        <w:rPr>
          <w:color w:val="1F1F1E"/>
          <w:spacing w:val="-3"/>
        </w:rPr>
        <w:t> </w:t>
      </w:r>
      <w:r>
        <w:rPr>
          <w:color w:val="1F1F1E"/>
        </w:rPr>
        <w:t>University</w:t>
      </w:r>
      <w:r>
        <w:rPr>
          <w:color w:val="1F1F1E"/>
          <w:spacing w:val="-3"/>
        </w:rPr>
        <w:t> </w:t>
      </w:r>
      <w:r>
        <w:rPr>
          <w:color w:val="1F1F1E"/>
        </w:rPr>
        <w:t>of</w:t>
      </w:r>
      <w:r>
        <w:rPr>
          <w:color w:val="1F1F1E"/>
          <w:spacing w:val="-4"/>
        </w:rPr>
        <w:t> </w:t>
      </w:r>
      <w:r>
        <w:rPr>
          <w:color w:val="1F1F1E"/>
        </w:rPr>
        <w:t>Michigan, and UCLA in order to develop a set of recommendations. The recommendations are currently being synthesized and will be presented to the DEI committee at our final meeting in April.</w:t>
      </w:r>
    </w:p>
    <w:p>
      <w:pPr>
        <w:pStyle w:val="ListParagraph"/>
        <w:numPr>
          <w:ilvl w:val="0"/>
          <w:numId w:val="1"/>
        </w:numPr>
        <w:tabs>
          <w:tab w:pos="820" w:val="left" w:leader="none"/>
        </w:tabs>
        <w:spacing w:line="240" w:lineRule="auto" w:before="151" w:after="0"/>
        <w:ind w:left="820" w:right="0" w:hanging="360"/>
        <w:jc w:val="left"/>
        <w:rPr>
          <w:rFonts w:ascii="Symbol" w:hAnsi="Symbol"/>
          <w:color w:val="1F1F1E"/>
          <w:sz w:val="20"/>
          <w:u w:val="none"/>
        </w:rPr>
      </w:pPr>
      <w:r>
        <w:rPr>
          <w:sz w:val="24"/>
          <w:u w:val="single"/>
        </w:rPr>
        <w:t>Recommendations</w:t>
      </w:r>
      <w:r>
        <w:rPr>
          <w:spacing w:val="-2"/>
          <w:sz w:val="24"/>
          <w:u w:val="single"/>
        </w:rPr>
        <w:t> </w:t>
      </w:r>
      <w:r>
        <w:rPr>
          <w:sz w:val="24"/>
          <w:u w:val="single"/>
        </w:rPr>
        <w:t>for</w:t>
      </w:r>
      <w:r>
        <w:rPr>
          <w:spacing w:val="-1"/>
          <w:sz w:val="24"/>
          <w:u w:val="single"/>
        </w:rPr>
        <w:t> </w:t>
      </w:r>
      <w:r>
        <w:rPr>
          <w:sz w:val="24"/>
          <w:u w:val="single"/>
        </w:rPr>
        <w:t>Future</w:t>
      </w:r>
      <w:r>
        <w:rPr>
          <w:spacing w:val="-1"/>
          <w:sz w:val="24"/>
          <w:u w:val="single"/>
        </w:rPr>
        <w:t> </w:t>
      </w:r>
      <w:r>
        <w:rPr>
          <w:spacing w:val="-2"/>
          <w:sz w:val="24"/>
          <w:u w:val="single"/>
        </w:rPr>
        <w:t>Action</w:t>
      </w:r>
    </w:p>
    <w:p>
      <w:pPr>
        <w:pStyle w:val="BodyText"/>
        <w:spacing w:line="259" w:lineRule="auto"/>
        <w:ind w:right="130"/>
      </w:pPr>
      <w:r>
        <w:rPr>
          <w:color w:val="1F1F1E"/>
        </w:rPr>
        <w:t>Our</w:t>
      </w:r>
      <w:r>
        <w:rPr>
          <w:color w:val="1F1F1E"/>
          <w:spacing w:val="-2"/>
        </w:rPr>
        <w:t> </w:t>
      </w:r>
      <w:r>
        <w:rPr>
          <w:color w:val="1F1F1E"/>
        </w:rPr>
        <w:t>recommendations</w:t>
      </w:r>
      <w:r>
        <w:rPr>
          <w:color w:val="1F1F1E"/>
          <w:spacing w:val="-2"/>
        </w:rPr>
        <w:t> </w:t>
      </w:r>
      <w:r>
        <w:rPr>
          <w:color w:val="1F1F1E"/>
        </w:rPr>
        <w:t>should</w:t>
      </w:r>
      <w:r>
        <w:rPr>
          <w:color w:val="1F1F1E"/>
          <w:spacing w:val="-2"/>
        </w:rPr>
        <w:t> </w:t>
      </w:r>
      <w:r>
        <w:rPr>
          <w:color w:val="1F1F1E"/>
        </w:rPr>
        <w:t>be</w:t>
      </w:r>
      <w:r>
        <w:rPr>
          <w:color w:val="1F1F1E"/>
          <w:spacing w:val="-2"/>
        </w:rPr>
        <w:t> </w:t>
      </w:r>
      <w:r>
        <w:rPr>
          <w:color w:val="1F1F1E"/>
        </w:rPr>
        <w:t>reviewed</w:t>
      </w:r>
      <w:r>
        <w:rPr>
          <w:color w:val="1F1F1E"/>
          <w:spacing w:val="-2"/>
        </w:rPr>
        <w:t> </w:t>
      </w:r>
      <w:r>
        <w:rPr>
          <w:color w:val="1F1F1E"/>
        </w:rPr>
        <w:t>by</w:t>
      </w:r>
      <w:r>
        <w:rPr>
          <w:color w:val="1F1F1E"/>
          <w:spacing w:val="-2"/>
        </w:rPr>
        <w:t> </w:t>
      </w:r>
      <w:r>
        <w:rPr>
          <w:color w:val="1F1F1E"/>
        </w:rPr>
        <w:t>the</w:t>
      </w:r>
      <w:r>
        <w:rPr>
          <w:color w:val="1F1F1E"/>
          <w:spacing w:val="-3"/>
        </w:rPr>
        <w:t> </w:t>
      </w:r>
      <w:r>
        <w:rPr>
          <w:color w:val="1F1F1E"/>
        </w:rPr>
        <w:t>ODEI</w:t>
      </w:r>
      <w:r>
        <w:rPr>
          <w:color w:val="1F1F1E"/>
          <w:spacing w:val="-2"/>
        </w:rPr>
        <w:t> </w:t>
      </w:r>
      <w:r>
        <w:rPr>
          <w:color w:val="1F1F1E"/>
        </w:rPr>
        <w:t>for</w:t>
      </w:r>
      <w:r>
        <w:rPr>
          <w:color w:val="1F1F1E"/>
          <w:spacing w:val="-2"/>
        </w:rPr>
        <w:t> </w:t>
      </w:r>
      <w:r>
        <w:rPr>
          <w:color w:val="1F1F1E"/>
        </w:rPr>
        <w:t>consideration</w:t>
      </w:r>
      <w:r>
        <w:rPr>
          <w:color w:val="1F1F1E"/>
          <w:spacing w:val="-2"/>
        </w:rPr>
        <w:t> </w:t>
      </w:r>
      <w:r>
        <w:rPr>
          <w:color w:val="1F1F1E"/>
        </w:rPr>
        <w:t>for</w:t>
      </w:r>
      <w:r>
        <w:rPr>
          <w:color w:val="1F1F1E"/>
          <w:spacing w:val="-2"/>
        </w:rPr>
        <w:t> </w:t>
      </w:r>
      <w:r>
        <w:rPr>
          <w:color w:val="1F1F1E"/>
        </w:rPr>
        <w:t>next</w:t>
      </w:r>
      <w:r>
        <w:rPr>
          <w:color w:val="1F1F1E"/>
          <w:spacing w:val="-2"/>
        </w:rPr>
        <w:t> </w:t>
      </w:r>
      <w:r>
        <w:rPr>
          <w:color w:val="1F1F1E"/>
        </w:rPr>
        <w:t>steps - some</w:t>
      </w:r>
      <w:r>
        <w:rPr>
          <w:color w:val="1F1F1E"/>
          <w:spacing w:val="-3"/>
        </w:rPr>
        <w:t> </w:t>
      </w:r>
      <w:r>
        <w:rPr>
          <w:color w:val="1F1F1E"/>
        </w:rPr>
        <w:t>possibilities</w:t>
      </w:r>
      <w:r>
        <w:rPr>
          <w:color w:val="1F1F1E"/>
          <w:spacing w:val="-3"/>
        </w:rPr>
        <w:t> </w:t>
      </w:r>
      <w:r>
        <w:rPr>
          <w:color w:val="1F1F1E"/>
        </w:rPr>
        <w:t>might</w:t>
      </w:r>
      <w:r>
        <w:rPr>
          <w:color w:val="1F1F1E"/>
          <w:spacing w:val="-3"/>
        </w:rPr>
        <w:t> </w:t>
      </w:r>
      <w:r>
        <w:rPr>
          <w:color w:val="1F1F1E"/>
        </w:rPr>
        <w:t>be</w:t>
      </w:r>
      <w:r>
        <w:rPr>
          <w:color w:val="1F1F1E"/>
          <w:spacing w:val="-3"/>
        </w:rPr>
        <w:t> </w:t>
      </w:r>
      <w:r>
        <w:rPr>
          <w:color w:val="1F1F1E"/>
        </w:rPr>
        <w:t>sharing</w:t>
      </w:r>
      <w:r>
        <w:rPr>
          <w:color w:val="1F1F1E"/>
          <w:spacing w:val="-5"/>
        </w:rPr>
        <w:t> </w:t>
      </w:r>
      <w:r>
        <w:rPr>
          <w:color w:val="1F1F1E"/>
        </w:rPr>
        <w:t>these</w:t>
      </w:r>
      <w:r>
        <w:rPr>
          <w:color w:val="1F1F1E"/>
          <w:spacing w:val="-3"/>
        </w:rPr>
        <w:t> </w:t>
      </w:r>
      <w:r>
        <w:rPr>
          <w:color w:val="1F1F1E"/>
        </w:rPr>
        <w:t>on</w:t>
      </w:r>
      <w:r>
        <w:rPr>
          <w:color w:val="1F1F1E"/>
          <w:spacing w:val="-3"/>
        </w:rPr>
        <w:t> </w:t>
      </w:r>
      <w:r>
        <w:rPr>
          <w:color w:val="1F1F1E"/>
        </w:rPr>
        <w:t>the</w:t>
      </w:r>
      <w:r>
        <w:rPr>
          <w:color w:val="1F1F1E"/>
          <w:spacing w:val="-4"/>
        </w:rPr>
        <w:t> </w:t>
      </w:r>
      <w:r>
        <w:rPr>
          <w:color w:val="1F1F1E"/>
        </w:rPr>
        <w:t>SOE</w:t>
      </w:r>
      <w:r>
        <w:rPr>
          <w:color w:val="1F1F1E"/>
          <w:spacing w:val="-3"/>
        </w:rPr>
        <w:t> </w:t>
      </w:r>
      <w:r>
        <w:rPr>
          <w:color w:val="1F1F1E"/>
        </w:rPr>
        <w:t>ODEI</w:t>
      </w:r>
      <w:r>
        <w:rPr>
          <w:color w:val="1F1F1E"/>
          <w:spacing w:val="-3"/>
        </w:rPr>
        <w:t> </w:t>
      </w:r>
      <w:r>
        <w:rPr>
          <w:color w:val="1F1F1E"/>
        </w:rPr>
        <w:t>website,</w:t>
      </w:r>
      <w:r>
        <w:rPr>
          <w:color w:val="1F1F1E"/>
          <w:spacing w:val="-3"/>
        </w:rPr>
        <w:t> </w:t>
      </w:r>
      <w:r>
        <w:rPr>
          <w:color w:val="1F1F1E"/>
        </w:rPr>
        <w:t>or</w:t>
      </w:r>
      <w:r>
        <w:rPr>
          <w:color w:val="1F1F1E"/>
          <w:spacing w:val="-4"/>
        </w:rPr>
        <w:t> </w:t>
      </w:r>
      <w:r>
        <w:rPr>
          <w:color w:val="1F1F1E"/>
        </w:rPr>
        <w:t>distributing</w:t>
      </w:r>
      <w:r>
        <w:rPr>
          <w:color w:val="1F1F1E"/>
          <w:spacing w:val="-4"/>
        </w:rPr>
        <w:t> </w:t>
      </w:r>
      <w:r>
        <w:rPr>
          <w:color w:val="1F1F1E"/>
        </w:rPr>
        <w:t>them to department chairs and HR. Some recommended steps involve things like departments having an existing DEI value statement, which is a step that ODEI/HR might consider asking for from departments, if that is not underway already.</w:t>
      </w:r>
    </w:p>
    <w:p>
      <w:pPr>
        <w:pStyle w:val="BodyText"/>
        <w:ind w:left="0"/>
      </w:pPr>
    </w:p>
    <w:p>
      <w:pPr>
        <w:pStyle w:val="BodyText"/>
        <w:spacing w:before="69"/>
        <w:ind w:left="0"/>
      </w:pPr>
    </w:p>
    <w:p>
      <w:pPr>
        <w:spacing w:before="0"/>
        <w:ind w:left="100" w:right="0" w:firstLine="0"/>
        <w:jc w:val="left"/>
        <w:rPr>
          <w:b/>
          <w:sz w:val="24"/>
        </w:rPr>
      </w:pPr>
      <w:r>
        <w:rPr>
          <w:b/>
          <w:color w:val="1F1F1E"/>
          <w:sz w:val="24"/>
        </w:rPr>
        <w:t>Charge</w:t>
      </w:r>
      <w:r>
        <w:rPr>
          <w:b/>
          <w:color w:val="1F1F1E"/>
          <w:spacing w:val="-3"/>
          <w:sz w:val="24"/>
        </w:rPr>
        <w:t> </w:t>
      </w:r>
      <w:r>
        <w:rPr>
          <w:b/>
          <w:color w:val="1F1F1E"/>
          <w:sz w:val="24"/>
        </w:rPr>
        <w:t>4 (DEI</w:t>
      </w:r>
      <w:r>
        <w:rPr>
          <w:b/>
          <w:color w:val="1F1F1E"/>
          <w:spacing w:val="-1"/>
          <w:sz w:val="24"/>
        </w:rPr>
        <w:t> </w:t>
      </w:r>
      <w:r>
        <w:rPr>
          <w:b/>
          <w:color w:val="1F1F1E"/>
          <w:sz w:val="24"/>
        </w:rPr>
        <w:t>- Promotion and </w:t>
      </w:r>
      <w:r>
        <w:rPr>
          <w:b/>
          <w:color w:val="1F1F1E"/>
          <w:spacing w:val="-2"/>
          <w:sz w:val="24"/>
        </w:rPr>
        <w:t>Tenure)</w:t>
      </w:r>
    </w:p>
    <w:p>
      <w:pPr>
        <w:pStyle w:val="ListParagraph"/>
        <w:numPr>
          <w:ilvl w:val="0"/>
          <w:numId w:val="1"/>
        </w:numPr>
        <w:tabs>
          <w:tab w:pos="820" w:val="left" w:leader="none"/>
        </w:tabs>
        <w:spacing w:line="240" w:lineRule="auto" w:before="258" w:after="0"/>
        <w:ind w:left="820" w:right="0" w:hanging="360"/>
        <w:jc w:val="left"/>
        <w:rPr>
          <w:rFonts w:ascii="Symbol" w:hAnsi="Symbol"/>
          <w:sz w:val="20"/>
          <w:u w:val="none"/>
        </w:rPr>
      </w:pPr>
      <w:r>
        <w:rPr>
          <w:sz w:val="24"/>
          <w:u w:val="single"/>
        </w:rPr>
        <w:t>Actions and</w:t>
      </w:r>
      <w:r>
        <w:rPr>
          <w:spacing w:val="-1"/>
          <w:sz w:val="24"/>
          <w:u w:val="single"/>
        </w:rPr>
        <w:t> </w:t>
      </w:r>
      <w:r>
        <w:rPr>
          <w:spacing w:val="-2"/>
          <w:sz w:val="24"/>
          <w:u w:val="single"/>
        </w:rPr>
        <w:t>Outcomes:</w:t>
      </w:r>
    </w:p>
    <w:p>
      <w:pPr>
        <w:spacing w:after="0" w:line="240" w:lineRule="auto"/>
        <w:jc w:val="left"/>
        <w:rPr>
          <w:rFonts w:ascii="Symbol" w:hAnsi="Symbol"/>
          <w:sz w:val="20"/>
        </w:rPr>
        <w:sectPr>
          <w:pgSz w:w="12240" w:h="15840"/>
          <w:pgMar w:top="1360" w:bottom="280" w:left="1340" w:right="1340"/>
        </w:sectPr>
      </w:pPr>
    </w:p>
    <w:p>
      <w:pPr>
        <w:pStyle w:val="BodyText"/>
        <w:spacing w:before="78"/>
        <w:ind w:right="128"/>
      </w:pPr>
      <w:r>
        <w:rPr/>
        <w:t>We met multiple times throughout the year to review SOE P&amp;T policy as well as IU- Bloomington</w:t>
      </w:r>
      <w:r>
        <w:rPr>
          <w:spacing w:val="-3"/>
        </w:rPr>
        <w:t> </w:t>
      </w:r>
      <w:r>
        <w:rPr/>
        <w:t>P&amp;T</w:t>
      </w:r>
      <w:r>
        <w:rPr>
          <w:spacing w:val="-3"/>
        </w:rPr>
        <w:t> </w:t>
      </w:r>
      <w:r>
        <w:rPr/>
        <w:t>policy.</w:t>
      </w:r>
      <w:r>
        <w:rPr>
          <w:spacing w:val="-2"/>
        </w:rPr>
        <w:t> </w:t>
      </w:r>
      <w:r>
        <w:rPr/>
        <w:t>The</w:t>
      </w:r>
      <w:r>
        <w:rPr>
          <w:spacing w:val="-3"/>
        </w:rPr>
        <w:t> </w:t>
      </w:r>
      <w:r>
        <w:rPr/>
        <w:t>most</w:t>
      </w:r>
      <w:r>
        <w:rPr>
          <w:spacing w:val="-2"/>
        </w:rPr>
        <w:t> </w:t>
      </w:r>
      <w:r>
        <w:rPr/>
        <w:t>obvious</w:t>
      </w:r>
      <w:r>
        <w:rPr>
          <w:spacing w:val="-3"/>
        </w:rPr>
        <w:t> </w:t>
      </w:r>
      <w:r>
        <w:rPr/>
        <w:t>issue</w:t>
      </w:r>
      <w:r>
        <w:rPr>
          <w:spacing w:val="-3"/>
        </w:rPr>
        <w:t> </w:t>
      </w:r>
      <w:r>
        <w:rPr/>
        <w:t>is</w:t>
      </w:r>
      <w:r>
        <w:rPr>
          <w:spacing w:val="-3"/>
        </w:rPr>
        <w:t> </w:t>
      </w:r>
      <w:r>
        <w:rPr/>
        <w:t>that</w:t>
      </w:r>
      <w:r>
        <w:rPr>
          <w:spacing w:val="-3"/>
        </w:rPr>
        <w:t> </w:t>
      </w:r>
      <w:r>
        <w:rPr/>
        <w:t>there</w:t>
      </w:r>
      <w:r>
        <w:rPr>
          <w:spacing w:val="-3"/>
        </w:rPr>
        <w:t> </w:t>
      </w:r>
      <w:r>
        <w:rPr/>
        <w:t>is</w:t>
      </w:r>
      <w:r>
        <w:rPr>
          <w:spacing w:val="-3"/>
        </w:rPr>
        <w:t> </w:t>
      </w:r>
      <w:r>
        <w:rPr/>
        <w:t>nothing</w:t>
      </w:r>
      <w:r>
        <w:rPr>
          <w:spacing w:val="-4"/>
        </w:rPr>
        <w:t> </w:t>
      </w:r>
      <w:r>
        <w:rPr/>
        <w:t>about</w:t>
      </w:r>
      <w:r>
        <w:rPr>
          <w:spacing w:val="-3"/>
        </w:rPr>
        <w:t> </w:t>
      </w:r>
      <w:r>
        <w:rPr/>
        <w:t>DEI</w:t>
      </w:r>
      <w:r>
        <w:rPr>
          <w:spacing w:val="-3"/>
        </w:rPr>
        <w:t> </w:t>
      </w:r>
      <w:r>
        <w:rPr/>
        <w:t>on the</w:t>
      </w:r>
      <w:r>
        <w:rPr>
          <w:spacing w:val="-2"/>
        </w:rPr>
        <w:t> </w:t>
      </w:r>
      <w:r>
        <w:rPr/>
        <w:t>SOE</w:t>
      </w:r>
      <w:r>
        <w:rPr>
          <w:spacing w:val="-2"/>
        </w:rPr>
        <w:t> </w:t>
      </w:r>
      <w:r>
        <w:rPr/>
        <w:t>P&amp;T</w:t>
      </w:r>
      <w:r>
        <w:rPr>
          <w:spacing w:val="-2"/>
        </w:rPr>
        <w:t> </w:t>
      </w:r>
      <w:r>
        <w:rPr/>
        <w:t>criteria.</w:t>
      </w:r>
      <w:r>
        <w:rPr>
          <w:spacing w:val="40"/>
        </w:rPr>
        <w:t> </w:t>
      </w:r>
      <w:r>
        <w:rPr/>
        <w:t>The</w:t>
      </w:r>
      <w:r>
        <w:rPr>
          <w:spacing w:val="-2"/>
        </w:rPr>
        <w:t> </w:t>
      </w:r>
      <w:r>
        <w:rPr/>
        <w:t>word</w:t>
      </w:r>
      <w:r>
        <w:rPr>
          <w:spacing w:val="-2"/>
        </w:rPr>
        <w:t> </w:t>
      </w:r>
      <w:r>
        <w:rPr/>
        <w:t>diversity</w:t>
      </w:r>
      <w:r>
        <w:rPr>
          <w:spacing w:val="-2"/>
        </w:rPr>
        <w:t> </w:t>
      </w:r>
      <w:r>
        <w:rPr/>
        <w:t>occurs</w:t>
      </w:r>
      <w:r>
        <w:rPr>
          <w:spacing w:val="-2"/>
        </w:rPr>
        <w:t> </w:t>
      </w:r>
      <w:r>
        <w:rPr/>
        <w:t>once</w:t>
      </w:r>
      <w:r>
        <w:rPr>
          <w:spacing w:val="-2"/>
        </w:rPr>
        <w:t> </w:t>
      </w:r>
      <w:r>
        <w:rPr/>
        <w:t>but</w:t>
      </w:r>
      <w:r>
        <w:rPr>
          <w:spacing w:val="-2"/>
        </w:rPr>
        <w:t> </w:t>
      </w:r>
      <w:r>
        <w:rPr/>
        <w:t>it</w:t>
      </w:r>
      <w:r>
        <w:rPr>
          <w:spacing w:val="-2"/>
        </w:rPr>
        <w:t> </w:t>
      </w:r>
      <w:r>
        <w:rPr/>
        <w:t>is</w:t>
      </w:r>
      <w:r>
        <w:rPr>
          <w:spacing w:val="-2"/>
        </w:rPr>
        <w:t> </w:t>
      </w:r>
      <w:r>
        <w:rPr/>
        <w:t>used</w:t>
      </w:r>
      <w:r>
        <w:rPr>
          <w:spacing w:val="-2"/>
        </w:rPr>
        <w:t> </w:t>
      </w:r>
      <w:r>
        <w:rPr/>
        <w:t>in</w:t>
      </w:r>
      <w:r>
        <w:rPr>
          <w:spacing w:val="-2"/>
        </w:rPr>
        <w:t> </w:t>
      </w:r>
      <w:r>
        <w:rPr/>
        <w:t>a</w:t>
      </w:r>
      <w:r>
        <w:rPr>
          <w:spacing w:val="-3"/>
        </w:rPr>
        <w:t> </w:t>
      </w:r>
      <w:r>
        <w:rPr/>
        <w:t>relation</w:t>
      </w:r>
      <w:r>
        <w:rPr>
          <w:spacing w:val="-2"/>
        </w:rPr>
        <w:t> </w:t>
      </w:r>
      <w:r>
        <w:rPr/>
        <w:t>to</w:t>
      </w:r>
      <w:r>
        <w:rPr>
          <w:spacing w:val="-3"/>
        </w:rPr>
        <w:t> </w:t>
      </w:r>
      <w:r>
        <w:rPr/>
        <w:t>the institutional mission:</w:t>
      </w:r>
    </w:p>
    <w:p>
      <w:pPr>
        <w:spacing w:before="240"/>
        <w:ind w:left="820" w:right="169" w:firstLine="0"/>
        <w:jc w:val="left"/>
        <w:rPr>
          <w:i/>
          <w:sz w:val="24"/>
        </w:rPr>
      </w:pPr>
      <w:r>
        <w:rPr>
          <w:sz w:val="24"/>
        </w:rPr>
        <w:t>It is important to note that the criteria for promotion and for tenure depend on campus and program missions. </w:t>
      </w:r>
      <w:r>
        <w:rPr>
          <w:i/>
          <w:sz w:val="24"/>
        </w:rPr>
        <w:t>For tenure, the criteria “must recognize the </w:t>
      </w:r>
      <w:r>
        <w:rPr>
          <w:i/>
          <w:sz w:val="24"/>
          <w:u w:val="single"/>
        </w:rPr>
        <w:t>diversity</w:t>
      </w:r>
      <w:r>
        <w:rPr>
          <w:i/>
          <w:sz w:val="24"/>
          <w:u w:val="none"/>
        </w:rPr>
        <w:t> of the</w:t>
      </w:r>
      <w:r>
        <w:rPr>
          <w:i/>
          <w:sz w:val="24"/>
          <w:u w:val="none"/>
        </w:rPr>
        <w:t> missions and the contexts of the campuses of the University and must not ignore the mission</w:t>
      </w:r>
      <w:r>
        <w:rPr>
          <w:i/>
          <w:spacing w:val="-3"/>
          <w:sz w:val="24"/>
          <w:u w:val="none"/>
        </w:rPr>
        <w:t> </w:t>
      </w:r>
      <w:r>
        <w:rPr>
          <w:i/>
          <w:sz w:val="24"/>
          <w:u w:val="none"/>
        </w:rPr>
        <w:t>of</w:t>
      </w:r>
      <w:r>
        <w:rPr>
          <w:i/>
          <w:spacing w:val="-4"/>
          <w:sz w:val="24"/>
          <w:u w:val="none"/>
        </w:rPr>
        <w:t> </w:t>
      </w:r>
      <w:r>
        <w:rPr>
          <w:i/>
          <w:sz w:val="24"/>
          <w:u w:val="none"/>
        </w:rPr>
        <w:t>the</w:t>
      </w:r>
      <w:r>
        <w:rPr>
          <w:i/>
          <w:spacing w:val="-3"/>
          <w:sz w:val="24"/>
          <w:u w:val="none"/>
        </w:rPr>
        <w:t> </w:t>
      </w:r>
      <w:r>
        <w:rPr>
          <w:i/>
          <w:sz w:val="24"/>
          <w:u w:val="none"/>
        </w:rPr>
        <w:t>particular</w:t>
      </w:r>
      <w:r>
        <w:rPr>
          <w:i/>
          <w:spacing w:val="-4"/>
          <w:sz w:val="24"/>
          <w:u w:val="none"/>
        </w:rPr>
        <w:t> </w:t>
      </w:r>
      <w:r>
        <w:rPr>
          <w:i/>
          <w:sz w:val="24"/>
          <w:u w:val="none"/>
        </w:rPr>
        <w:t>unit</w:t>
      </w:r>
      <w:r>
        <w:rPr>
          <w:i/>
          <w:spacing w:val="-3"/>
          <w:sz w:val="24"/>
          <w:u w:val="none"/>
        </w:rPr>
        <w:t> </w:t>
      </w:r>
      <w:r>
        <w:rPr>
          <w:i/>
          <w:sz w:val="24"/>
          <w:u w:val="none"/>
        </w:rPr>
        <w:t>as</w:t>
      </w:r>
      <w:r>
        <w:rPr>
          <w:i/>
          <w:spacing w:val="-3"/>
          <w:sz w:val="24"/>
          <w:u w:val="none"/>
        </w:rPr>
        <w:t> </w:t>
      </w:r>
      <w:r>
        <w:rPr>
          <w:i/>
          <w:sz w:val="24"/>
          <w:u w:val="none"/>
        </w:rPr>
        <w:t>defined</w:t>
      </w:r>
      <w:r>
        <w:rPr>
          <w:i/>
          <w:spacing w:val="-3"/>
          <w:sz w:val="24"/>
          <w:u w:val="none"/>
        </w:rPr>
        <w:t> </w:t>
      </w:r>
      <w:r>
        <w:rPr>
          <w:i/>
          <w:sz w:val="24"/>
          <w:u w:val="none"/>
        </w:rPr>
        <w:t>in</w:t>
      </w:r>
      <w:r>
        <w:rPr>
          <w:i/>
          <w:spacing w:val="-3"/>
          <w:sz w:val="24"/>
          <w:u w:val="none"/>
        </w:rPr>
        <w:t> </w:t>
      </w:r>
      <w:r>
        <w:rPr>
          <w:i/>
          <w:sz w:val="24"/>
          <w:u w:val="none"/>
        </w:rPr>
        <w:t>its</w:t>
      </w:r>
      <w:r>
        <w:rPr>
          <w:i/>
          <w:spacing w:val="-3"/>
          <w:sz w:val="24"/>
          <w:u w:val="none"/>
        </w:rPr>
        <w:t> </w:t>
      </w:r>
      <w:r>
        <w:rPr>
          <w:i/>
          <w:sz w:val="24"/>
          <w:u w:val="none"/>
        </w:rPr>
        <w:t>statement</w:t>
      </w:r>
      <w:r>
        <w:rPr>
          <w:i/>
          <w:spacing w:val="-3"/>
          <w:sz w:val="24"/>
          <w:u w:val="none"/>
        </w:rPr>
        <w:t> </w:t>
      </w:r>
      <w:r>
        <w:rPr>
          <w:i/>
          <w:sz w:val="24"/>
          <w:u w:val="none"/>
        </w:rPr>
        <w:t>of</w:t>
      </w:r>
      <w:r>
        <w:rPr>
          <w:i/>
          <w:spacing w:val="-3"/>
          <w:sz w:val="24"/>
          <w:u w:val="none"/>
        </w:rPr>
        <w:t> </w:t>
      </w:r>
      <w:r>
        <w:rPr>
          <w:i/>
          <w:sz w:val="24"/>
          <w:u w:val="none"/>
        </w:rPr>
        <w:t>criteria</w:t>
      </w:r>
      <w:r>
        <w:rPr>
          <w:i/>
          <w:spacing w:val="-3"/>
          <w:sz w:val="24"/>
          <w:u w:val="none"/>
        </w:rPr>
        <w:t> </w:t>
      </w:r>
      <w:r>
        <w:rPr>
          <w:i/>
          <w:sz w:val="24"/>
          <w:u w:val="none"/>
        </w:rPr>
        <w:t>and</w:t>
      </w:r>
      <w:r>
        <w:rPr>
          <w:i/>
          <w:spacing w:val="-3"/>
          <w:sz w:val="24"/>
          <w:u w:val="none"/>
        </w:rPr>
        <w:t> </w:t>
      </w:r>
      <w:r>
        <w:rPr>
          <w:i/>
          <w:sz w:val="24"/>
          <w:u w:val="none"/>
        </w:rPr>
        <w:t>procedures</w:t>
      </w:r>
      <w:r>
        <w:rPr>
          <w:i/>
          <w:spacing w:val="-3"/>
          <w:sz w:val="24"/>
          <w:u w:val="none"/>
        </w:rPr>
        <w:t> </w:t>
      </w:r>
      <w:r>
        <w:rPr>
          <w:i/>
          <w:sz w:val="24"/>
          <w:u w:val="none"/>
        </w:rPr>
        <w:t>and the individual’s contribution to that mission” (</w:t>
      </w:r>
      <w:r>
        <w:rPr>
          <w:i/>
          <w:color w:val="0000FF"/>
          <w:sz w:val="24"/>
          <w:u w:val="none"/>
        </w:rPr>
        <w:t>ACA-37</w:t>
      </w:r>
      <w:r>
        <w:rPr>
          <w:i/>
          <w:sz w:val="24"/>
          <w:u w:val="none"/>
        </w:rPr>
        <w:t>).</w:t>
      </w:r>
    </w:p>
    <w:p>
      <w:pPr>
        <w:pStyle w:val="BodyText"/>
        <w:spacing w:line="259" w:lineRule="auto" w:before="240"/>
        <w:ind w:right="108"/>
      </w:pPr>
      <w:r>
        <w:rPr/>
        <w:t>As</w:t>
      </w:r>
      <w:r>
        <w:rPr>
          <w:spacing w:val="-3"/>
        </w:rPr>
        <w:t> </w:t>
      </w:r>
      <w:r>
        <w:rPr/>
        <w:t>a</w:t>
      </w:r>
      <w:r>
        <w:rPr>
          <w:spacing w:val="-3"/>
        </w:rPr>
        <w:t> </w:t>
      </w:r>
      <w:r>
        <w:rPr/>
        <w:t>result</w:t>
      </w:r>
      <w:r>
        <w:rPr>
          <w:spacing w:val="-3"/>
        </w:rPr>
        <w:t> </w:t>
      </w:r>
      <w:r>
        <w:rPr/>
        <w:t>of</w:t>
      </w:r>
      <w:r>
        <w:rPr>
          <w:spacing w:val="-4"/>
        </w:rPr>
        <w:t> </w:t>
      </w:r>
      <w:r>
        <w:rPr/>
        <w:t>this</w:t>
      </w:r>
      <w:r>
        <w:rPr>
          <w:spacing w:val="-3"/>
        </w:rPr>
        <w:t> </w:t>
      </w:r>
      <w:r>
        <w:rPr/>
        <w:t>discovery</w:t>
      </w:r>
      <w:r>
        <w:rPr>
          <w:spacing w:val="-3"/>
        </w:rPr>
        <w:t> </w:t>
      </w:r>
      <w:r>
        <w:rPr/>
        <w:t>the</w:t>
      </w:r>
      <w:r>
        <w:rPr>
          <w:spacing w:val="-3"/>
        </w:rPr>
        <w:t> </w:t>
      </w:r>
      <w:r>
        <w:rPr/>
        <w:t>sub-committee</w:t>
      </w:r>
      <w:r>
        <w:rPr>
          <w:spacing w:val="-2"/>
        </w:rPr>
        <w:t> </w:t>
      </w:r>
      <w:r>
        <w:rPr/>
        <w:t>suggested</w:t>
      </w:r>
      <w:r>
        <w:rPr>
          <w:spacing w:val="-3"/>
        </w:rPr>
        <w:t> </w:t>
      </w:r>
      <w:r>
        <w:rPr/>
        <w:t>at</w:t>
      </w:r>
      <w:r>
        <w:rPr>
          <w:spacing w:val="-3"/>
        </w:rPr>
        <w:t> </w:t>
      </w:r>
      <w:r>
        <w:rPr/>
        <w:t>least</w:t>
      </w:r>
      <w:r>
        <w:rPr>
          <w:spacing w:val="-3"/>
        </w:rPr>
        <w:t> </w:t>
      </w:r>
      <w:r>
        <w:rPr/>
        <w:t>four</w:t>
      </w:r>
      <w:r>
        <w:rPr>
          <w:spacing w:val="-3"/>
        </w:rPr>
        <w:t> </w:t>
      </w:r>
      <w:r>
        <w:rPr/>
        <w:t>responses</w:t>
      </w:r>
      <w:r>
        <w:rPr>
          <w:spacing w:val="-3"/>
        </w:rPr>
        <w:t> </w:t>
      </w:r>
      <w:r>
        <w:rPr/>
        <w:t>to</w:t>
      </w:r>
      <w:r>
        <w:rPr>
          <w:spacing w:val="-3"/>
        </w:rPr>
        <w:t> </w:t>
      </w:r>
      <w:r>
        <w:rPr/>
        <w:t>DEI concerns in P&amp;T, including (a) a diversity statement in personal statements, (b) adding DEI</w:t>
      </w:r>
      <w:r>
        <w:rPr>
          <w:spacing w:val="-3"/>
        </w:rPr>
        <w:t> </w:t>
      </w:r>
      <w:r>
        <w:rPr/>
        <w:t>criteria</w:t>
      </w:r>
      <w:r>
        <w:rPr>
          <w:spacing w:val="-4"/>
        </w:rPr>
        <w:t> </w:t>
      </w:r>
      <w:r>
        <w:rPr/>
        <w:t>to</w:t>
      </w:r>
      <w:r>
        <w:rPr>
          <w:spacing w:val="-3"/>
        </w:rPr>
        <w:t> </w:t>
      </w:r>
      <w:r>
        <w:rPr/>
        <w:t>P&amp;T</w:t>
      </w:r>
      <w:r>
        <w:rPr>
          <w:spacing w:val="-3"/>
        </w:rPr>
        <w:t> </w:t>
      </w:r>
      <w:r>
        <w:rPr/>
        <w:t>guidelines,</w:t>
      </w:r>
      <w:r>
        <w:rPr>
          <w:spacing w:val="-3"/>
        </w:rPr>
        <w:t> </w:t>
      </w:r>
      <w:r>
        <w:rPr/>
        <w:t>(c)</w:t>
      </w:r>
      <w:r>
        <w:rPr>
          <w:spacing w:val="-3"/>
        </w:rPr>
        <w:t> </w:t>
      </w:r>
      <w:r>
        <w:rPr/>
        <w:t>putting</w:t>
      </w:r>
      <w:r>
        <w:rPr>
          <w:spacing w:val="-3"/>
        </w:rPr>
        <w:t> </w:t>
      </w:r>
      <w:r>
        <w:rPr/>
        <w:t>policies</w:t>
      </w:r>
      <w:r>
        <w:rPr>
          <w:spacing w:val="-3"/>
        </w:rPr>
        <w:t> </w:t>
      </w:r>
      <w:r>
        <w:rPr/>
        <w:t>in</w:t>
      </w:r>
      <w:r>
        <w:rPr>
          <w:spacing w:val="-3"/>
        </w:rPr>
        <w:t> </w:t>
      </w:r>
      <w:r>
        <w:rPr/>
        <w:t>place</w:t>
      </w:r>
      <w:r>
        <w:rPr>
          <w:spacing w:val="-3"/>
        </w:rPr>
        <w:t> </w:t>
      </w:r>
      <w:r>
        <w:rPr/>
        <w:t>at</w:t>
      </w:r>
      <w:r>
        <w:rPr>
          <w:spacing w:val="-3"/>
        </w:rPr>
        <w:t> </w:t>
      </w:r>
      <w:r>
        <w:rPr/>
        <w:t>the</w:t>
      </w:r>
      <w:r>
        <w:rPr>
          <w:spacing w:val="-3"/>
        </w:rPr>
        <w:t> </w:t>
      </w:r>
      <w:r>
        <w:rPr/>
        <w:t>department</w:t>
      </w:r>
      <w:r>
        <w:rPr>
          <w:spacing w:val="-3"/>
        </w:rPr>
        <w:t> </w:t>
      </w:r>
      <w:r>
        <w:rPr/>
        <w:t>level,</w:t>
      </w:r>
      <w:r>
        <w:rPr>
          <w:spacing w:val="-3"/>
        </w:rPr>
        <w:t> </w:t>
      </w:r>
      <w:r>
        <w:rPr/>
        <w:t>and</w:t>
      </w:r>
    </w:p>
    <w:p>
      <w:pPr>
        <w:pStyle w:val="BodyText"/>
      </w:pPr>
      <w:r>
        <w:rPr/>
        <w:t>(d)</w:t>
      </w:r>
      <w:r>
        <w:rPr>
          <w:spacing w:val="-1"/>
        </w:rPr>
        <w:t> </w:t>
      </w:r>
      <w:r>
        <w:rPr/>
        <w:t>moving non-tenure</w:t>
      </w:r>
      <w:r>
        <w:rPr>
          <w:spacing w:val="-1"/>
        </w:rPr>
        <w:t> </w:t>
      </w:r>
      <w:r>
        <w:rPr/>
        <w:t>track clinical</w:t>
      </w:r>
      <w:r>
        <w:rPr>
          <w:spacing w:val="-1"/>
        </w:rPr>
        <w:t> </w:t>
      </w:r>
      <w:r>
        <w:rPr/>
        <w:t>faculty of color</w:t>
      </w:r>
      <w:r>
        <w:rPr>
          <w:spacing w:val="-1"/>
        </w:rPr>
        <w:t> </w:t>
      </w:r>
      <w:r>
        <w:rPr/>
        <w:t>over</w:t>
      </w:r>
      <w:r>
        <w:rPr>
          <w:spacing w:val="-1"/>
        </w:rPr>
        <w:t> </w:t>
      </w:r>
      <w:r>
        <w:rPr/>
        <w:t>to</w:t>
      </w:r>
      <w:r>
        <w:rPr>
          <w:spacing w:val="-2"/>
        </w:rPr>
        <w:t> </w:t>
      </w:r>
      <w:r>
        <w:rPr/>
        <w:t>tenure</w:t>
      </w:r>
      <w:r>
        <w:rPr>
          <w:spacing w:val="-1"/>
        </w:rPr>
        <w:t> </w:t>
      </w:r>
      <w:r>
        <w:rPr/>
        <w:t>track</w:t>
      </w:r>
      <w:r>
        <w:rPr>
          <w:spacing w:val="1"/>
        </w:rPr>
        <w:t> </w:t>
      </w:r>
      <w:r>
        <w:rPr>
          <w:spacing w:val="-2"/>
        </w:rPr>
        <w:t>positions.</w:t>
      </w:r>
    </w:p>
    <w:p>
      <w:pPr>
        <w:pStyle w:val="ListParagraph"/>
        <w:numPr>
          <w:ilvl w:val="0"/>
          <w:numId w:val="1"/>
        </w:numPr>
        <w:tabs>
          <w:tab w:pos="820" w:val="left" w:leader="none"/>
        </w:tabs>
        <w:spacing w:line="240" w:lineRule="auto" w:before="181" w:after="0"/>
        <w:ind w:left="820" w:right="0" w:hanging="360"/>
        <w:jc w:val="left"/>
        <w:rPr>
          <w:rFonts w:ascii="Symbol" w:hAnsi="Symbol"/>
          <w:color w:val="1F1F1E"/>
          <w:sz w:val="20"/>
          <w:u w:val="none"/>
        </w:rPr>
      </w:pPr>
      <w:r>
        <w:rPr>
          <w:sz w:val="24"/>
          <w:u w:val="single"/>
        </w:rPr>
        <w:t>Recommendations</w:t>
      </w:r>
      <w:r>
        <w:rPr>
          <w:spacing w:val="-1"/>
          <w:sz w:val="24"/>
          <w:u w:val="single"/>
        </w:rPr>
        <w:t> </w:t>
      </w:r>
      <w:r>
        <w:rPr>
          <w:sz w:val="24"/>
          <w:u w:val="single"/>
        </w:rPr>
        <w:t>for</w:t>
      </w:r>
      <w:r>
        <w:rPr>
          <w:spacing w:val="-1"/>
          <w:sz w:val="24"/>
          <w:u w:val="single"/>
        </w:rPr>
        <w:t> </w:t>
      </w:r>
      <w:r>
        <w:rPr>
          <w:sz w:val="24"/>
          <w:u w:val="single"/>
        </w:rPr>
        <w:t>Future</w:t>
      </w:r>
      <w:r>
        <w:rPr>
          <w:spacing w:val="-1"/>
          <w:sz w:val="24"/>
          <w:u w:val="single"/>
        </w:rPr>
        <w:t> </w:t>
      </w:r>
      <w:r>
        <w:rPr>
          <w:spacing w:val="-2"/>
          <w:sz w:val="24"/>
          <w:u w:val="single"/>
        </w:rPr>
        <w:t>Action</w:t>
      </w:r>
    </w:p>
    <w:p>
      <w:pPr>
        <w:pStyle w:val="BodyText"/>
        <w:spacing w:line="259" w:lineRule="auto"/>
        <w:ind w:right="464"/>
      </w:pPr>
      <w:r>
        <w:rPr/>
        <w:t>Our recommendations suggest developing a DEI P&amp;T plan utilizing the resources on </w:t>
      </w:r>
      <w:hyperlink r:id="rId5">
        <w:r>
          <w:rPr>
            <w:color w:val="0462C1"/>
            <w:spacing w:val="-2"/>
            <w:u w:val="single" w:color="0462C1"/>
          </w:rPr>
          <w:t>https://academicaffairs.iupui.edu/Faculty-</w:t>
        </w:r>
      </w:hyperlink>
      <w:r>
        <w:rPr>
          <w:color w:val="0462C1"/>
          <w:spacing w:val="-2"/>
          <w:u w:val="none"/>
        </w:rPr>
        <w:t> </w:t>
      </w:r>
      <w:hyperlink r:id="rId5">
        <w:r>
          <w:rPr>
            <w:color w:val="0462C1"/>
            <w:u w:val="single" w:color="0462C1"/>
          </w:rPr>
          <w:t>Affairs/PromotionTenure/ptreviewupdate/examples</w:t>
        </w:r>
      </w:hyperlink>
      <w:r>
        <w:rPr>
          <w:color w:val="0462C1"/>
          <w:spacing w:val="-5"/>
          <w:u w:val="none"/>
        </w:rPr>
        <w:t> </w:t>
      </w:r>
      <w:r>
        <w:rPr>
          <w:u w:val="none"/>
        </w:rPr>
        <w:t>to</w:t>
      </w:r>
      <w:r>
        <w:rPr>
          <w:spacing w:val="-8"/>
          <w:u w:val="none"/>
        </w:rPr>
        <w:t> </w:t>
      </w:r>
      <w:r>
        <w:rPr>
          <w:u w:val="none"/>
        </w:rPr>
        <w:t>support</w:t>
      </w:r>
      <w:r>
        <w:rPr>
          <w:spacing w:val="-8"/>
          <w:u w:val="none"/>
        </w:rPr>
        <w:t> </w:t>
      </w:r>
      <w:r>
        <w:rPr>
          <w:u w:val="none"/>
        </w:rPr>
        <w:t>efforts</w:t>
      </w:r>
      <w:r>
        <w:rPr>
          <w:spacing w:val="-8"/>
          <w:u w:val="none"/>
        </w:rPr>
        <w:t> </w:t>
      </w:r>
      <w:r>
        <w:rPr>
          <w:u w:val="none"/>
        </w:rPr>
        <w:t>in</w:t>
      </w:r>
      <w:r>
        <w:rPr>
          <w:spacing w:val="-8"/>
          <w:u w:val="none"/>
        </w:rPr>
        <w:t> </w:t>
      </w:r>
      <w:r>
        <w:rPr>
          <w:u w:val="none"/>
        </w:rPr>
        <w:t>incorporating DEI in the promotion and tenure process.</w:t>
      </w:r>
    </w:p>
    <w:p>
      <w:pPr>
        <w:pStyle w:val="BodyText"/>
        <w:ind w:left="0"/>
      </w:pPr>
    </w:p>
    <w:p>
      <w:pPr>
        <w:pStyle w:val="BodyText"/>
        <w:ind w:left="0"/>
      </w:pPr>
    </w:p>
    <w:p>
      <w:pPr>
        <w:pStyle w:val="BodyText"/>
        <w:spacing w:before="251"/>
        <w:ind w:left="0"/>
      </w:pPr>
    </w:p>
    <w:p>
      <w:pPr>
        <w:pStyle w:val="Heading1"/>
      </w:pPr>
      <w:r>
        <w:rPr>
          <w:spacing w:val="-2"/>
        </w:rPr>
        <w:t>Summary</w:t>
      </w:r>
    </w:p>
    <w:p>
      <w:pPr>
        <w:pStyle w:val="BodyText"/>
        <w:spacing w:before="23"/>
        <w:ind w:left="0"/>
        <w:rPr>
          <w:b/>
        </w:rPr>
      </w:pPr>
    </w:p>
    <w:p>
      <w:pPr>
        <w:pStyle w:val="BodyText"/>
        <w:ind w:left="100"/>
      </w:pPr>
      <w:r>
        <w:rPr/>
        <w:t>Although in non-pandemic times the DEI committee meets monthly, in response to the Dean’s request</w:t>
      </w:r>
      <w:r>
        <w:rPr>
          <w:spacing w:val="-4"/>
        </w:rPr>
        <w:t> </w:t>
      </w:r>
      <w:r>
        <w:rPr/>
        <w:t>to</w:t>
      </w:r>
      <w:r>
        <w:rPr>
          <w:spacing w:val="-2"/>
        </w:rPr>
        <w:t> </w:t>
      </w:r>
      <w:r>
        <w:rPr/>
        <w:t>reduce</w:t>
      </w:r>
      <w:r>
        <w:rPr>
          <w:spacing w:val="-3"/>
        </w:rPr>
        <w:t> </w:t>
      </w:r>
      <w:r>
        <w:rPr/>
        <w:t>workload,</w:t>
      </w:r>
      <w:r>
        <w:rPr>
          <w:spacing w:val="-3"/>
        </w:rPr>
        <w:t> </w:t>
      </w:r>
      <w:r>
        <w:rPr/>
        <w:t>the</w:t>
      </w:r>
      <w:r>
        <w:rPr>
          <w:spacing w:val="-3"/>
        </w:rPr>
        <w:t> </w:t>
      </w:r>
      <w:r>
        <w:rPr/>
        <w:t>co-chairs</w:t>
      </w:r>
      <w:r>
        <w:rPr>
          <w:spacing w:val="-3"/>
        </w:rPr>
        <w:t> </w:t>
      </w:r>
      <w:r>
        <w:rPr/>
        <w:t>and</w:t>
      </w:r>
      <w:r>
        <w:rPr>
          <w:spacing w:val="-4"/>
        </w:rPr>
        <w:t> </w:t>
      </w:r>
      <w:r>
        <w:rPr/>
        <w:t>sub-committees</w:t>
      </w:r>
      <w:r>
        <w:rPr>
          <w:spacing w:val="-3"/>
        </w:rPr>
        <w:t> </w:t>
      </w:r>
      <w:r>
        <w:rPr/>
        <w:t>agreed</w:t>
      </w:r>
      <w:r>
        <w:rPr>
          <w:spacing w:val="-4"/>
        </w:rPr>
        <w:t> </w:t>
      </w:r>
      <w:r>
        <w:rPr/>
        <w:t>to</w:t>
      </w:r>
      <w:r>
        <w:rPr>
          <w:spacing w:val="-4"/>
        </w:rPr>
        <w:t> </w:t>
      </w:r>
      <w:r>
        <w:rPr/>
        <w:t>meet</w:t>
      </w:r>
      <w:r>
        <w:rPr>
          <w:spacing w:val="-3"/>
        </w:rPr>
        <w:t> </w:t>
      </w:r>
      <w:r>
        <w:rPr/>
        <w:t>every</w:t>
      </w:r>
      <w:r>
        <w:rPr>
          <w:spacing w:val="-3"/>
        </w:rPr>
        <w:t> </w:t>
      </w:r>
      <w:r>
        <w:rPr/>
        <w:t>other</w:t>
      </w:r>
      <w:r>
        <w:rPr>
          <w:spacing w:val="-3"/>
        </w:rPr>
        <w:t> </w:t>
      </w:r>
      <w:r>
        <w:rPr/>
        <w:t>month. Therefore, during the 2020-2021 year the DEI committee met 5 times, although meetings were extended</w:t>
      </w:r>
      <w:r>
        <w:rPr>
          <w:spacing w:val="-2"/>
        </w:rPr>
        <w:t> </w:t>
      </w:r>
      <w:r>
        <w:rPr/>
        <w:t>from</w:t>
      </w:r>
      <w:r>
        <w:rPr>
          <w:spacing w:val="-2"/>
        </w:rPr>
        <w:t> </w:t>
      </w:r>
      <w:r>
        <w:rPr/>
        <w:t>60</w:t>
      </w:r>
      <w:r>
        <w:rPr>
          <w:spacing w:val="-2"/>
        </w:rPr>
        <w:t> </w:t>
      </w:r>
      <w:r>
        <w:rPr/>
        <w:t>minutes</w:t>
      </w:r>
      <w:r>
        <w:rPr>
          <w:spacing w:val="-2"/>
        </w:rPr>
        <w:t> </w:t>
      </w:r>
      <w:r>
        <w:rPr/>
        <w:t>to</w:t>
      </w:r>
      <w:r>
        <w:rPr>
          <w:spacing w:val="-2"/>
        </w:rPr>
        <w:t> </w:t>
      </w:r>
      <w:r>
        <w:rPr/>
        <w:t>90</w:t>
      </w:r>
      <w:r>
        <w:rPr>
          <w:spacing w:val="-2"/>
        </w:rPr>
        <w:t> </w:t>
      </w:r>
      <w:r>
        <w:rPr/>
        <w:t>minutes</w:t>
      </w:r>
      <w:r>
        <w:rPr>
          <w:spacing w:val="-1"/>
        </w:rPr>
        <w:t> </w:t>
      </w:r>
      <w:r>
        <w:rPr/>
        <w:t>to</w:t>
      </w:r>
      <w:r>
        <w:rPr>
          <w:spacing w:val="-3"/>
        </w:rPr>
        <w:t> </w:t>
      </w:r>
      <w:r>
        <w:rPr/>
        <w:t>allow</w:t>
      </w:r>
      <w:r>
        <w:rPr>
          <w:spacing w:val="-4"/>
        </w:rPr>
        <w:t> </w:t>
      </w:r>
      <w:r>
        <w:rPr/>
        <w:t>time</w:t>
      </w:r>
      <w:r>
        <w:rPr>
          <w:spacing w:val="-1"/>
        </w:rPr>
        <w:t> </w:t>
      </w:r>
      <w:r>
        <w:rPr/>
        <w:t>for</w:t>
      </w:r>
      <w:r>
        <w:rPr>
          <w:spacing w:val="-2"/>
        </w:rPr>
        <w:t> </w:t>
      </w:r>
      <w:r>
        <w:rPr/>
        <w:t>members</w:t>
      </w:r>
      <w:r>
        <w:rPr>
          <w:spacing w:val="-2"/>
        </w:rPr>
        <w:t> </w:t>
      </w:r>
      <w:r>
        <w:rPr/>
        <w:t>to</w:t>
      </w:r>
      <w:r>
        <w:rPr>
          <w:spacing w:val="-2"/>
        </w:rPr>
        <w:t> </w:t>
      </w:r>
      <w:r>
        <w:rPr/>
        <w:t>work</w:t>
      </w:r>
      <w:r>
        <w:rPr>
          <w:spacing w:val="-2"/>
        </w:rPr>
        <w:t> </w:t>
      </w:r>
      <w:r>
        <w:rPr/>
        <w:t>on</w:t>
      </w:r>
      <w:r>
        <w:rPr>
          <w:spacing w:val="-2"/>
        </w:rPr>
        <w:t> </w:t>
      </w:r>
      <w:r>
        <w:rPr/>
        <w:t>action</w:t>
      </w:r>
      <w:r>
        <w:rPr>
          <w:spacing w:val="-3"/>
        </w:rPr>
        <w:t> </w:t>
      </w:r>
      <w:r>
        <w:rPr/>
        <w:t>items.</w:t>
      </w:r>
      <w:r>
        <w:rPr>
          <w:spacing w:val="-1"/>
        </w:rPr>
        <w:t> </w:t>
      </w:r>
      <w:r>
        <w:rPr/>
        <w:t>Co- chairs encouraged sub-committees to meet asynchronously or at a time that would be more convenient for them.</w:t>
      </w:r>
    </w:p>
    <w:p>
      <w:pPr>
        <w:pStyle w:val="BodyText"/>
        <w:spacing w:before="3"/>
        <w:ind w:left="0"/>
      </w:pPr>
    </w:p>
    <w:p>
      <w:pPr>
        <w:pStyle w:val="BodyText"/>
        <w:spacing w:before="1"/>
        <w:ind w:left="100" w:right="108"/>
      </w:pPr>
      <w:r>
        <w:rPr>
          <w:color w:val="1F1F1E"/>
        </w:rPr>
        <w:t>In addition to the recommendations from each subcommittee listed above, the co-chairs would recommend that in the future there might be some discussion concerning the nature and number of</w:t>
      </w:r>
      <w:r>
        <w:rPr>
          <w:color w:val="1F1F1E"/>
          <w:spacing w:val="-3"/>
        </w:rPr>
        <w:t> </w:t>
      </w:r>
      <w:r>
        <w:rPr>
          <w:color w:val="1F1F1E"/>
        </w:rPr>
        <w:t>charges</w:t>
      </w:r>
      <w:r>
        <w:rPr>
          <w:color w:val="1F1F1E"/>
          <w:spacing w:val="-2"/>
        </w:rPr>
        <w:t> </w:t>
      </w:r>
      <w:r>
        <w:rPr>
          <w:color w:val="1F1F1E"/>
        </w:rPr>
        <w:t>for</w:t>
      </w:r>
      <w:r>
        <w:rPr>
          <w:color w:val="1F1F1E"/>
          <w:spacing w:val="-3"/>
        </w:rPr>
        <w:t> </w:t>
      </w:r>
      <w:r>
        <w:rPr>
          <w:color w:val="1F1F1E"/>
        </w:rPr>
        <w:t>the</w:t>
      </w:r>
      <w:r>
        <w:rPr>
          <w:color w:val="1F1F1E"/>
          <w:spacing w:val="-3"/>
        </w:rPr>
        <w:t> </w:t>
      </w:r>
      <w:r>
        <w:rPr>
          <w:color w:val="1F1F1E"/>
        </w:rPr>
        <w:t>DEI</w:t>
      </w:r>
      <w:r>
        <w:rPr>
          <w:color w:val="1F1F1E"/>
          <w:spacing w:val="-3"/>
        </w:rPr>
        <w:t> </w:t>
      </w:r>
      <w:r>
        <w:rPr>
          <w:color w:val="1F1F1E"/>
        </w:rPr>
        <w:t>committee</w:t>
      </w:r>
      <w:r>
        <w:rPr>
          <w:color w:val="1F1F1E"/>
          <w:spacing w:val="-2"/>
        </w:rPr>
        <w:t> </w:t>
      </w:r>
      <w:r>
        <w:rPr>
          <w:color w:val="1F1F1E"/>
        </w:rPr>
        <w:t>in</w:t>
      </w:r>
      <w:r>
        <w:rPr>
          <w:color w:val="1F1F1E"/>
          <w:spacing w:val="-3"/>
        </w:rPr>
        <w:t> </w:t>
      </w:r>
      <w:r>
        <w:rPr>
          <w:color w:val="1F1F1E"/>
        </w:rPr>
        <w:t>a</w:t>
      </w:r>
      <w:r>
        <w:rPr>
          <w:color w:val="1F1F1E"/>
          <w:spacing w:val="-3"/>
        </w:rPr>
        <w:t> </w:t>
      </w:r>
      <w:r>
        <w:rPr>
          <w:color w:val="1F1F1E"/>
        </w:rPr>
        <w:t>given</w:t>
      </w:r>
      <w:r>
        <w:rPr>
          <w:color w:val="1F1F1E"/>
          <w:spacing w:val="-3"/>
        </w:rPr>
        <w:t> </w:t>
      </w:r>
      <w:r>
        <w:rPr>
          <w:color w:val="1F1F1E"/>
        </w:rPr>
        <w:t>year.</w:t>
      </w:r>
      <w:r>
        <w:rPr>
          <w:color w:val="1F1F1E"/>
          <w:spacing w:val="-3"/>
        </w:rPr>
        <w:t> </w:t>
      </w:r>
      <w:r>
        <w:rPr>
          <w:color w:val="1F1F1E"/>
        </w:rPr>
        <w:t>This</w:t>
      </w:r>
      <w:r>
        <w:rPr>
          <w:color w:val="1F1F1E"/>
          <w:spacing w:val="-3"/>
        </w:rPr>
        <w:t> </w:t>
      </w:r>
      <w:r>
        <w:rPr>
          <w:color w:val="1F1F1E"/>
        </w:rPr>
        <w:t>year,</w:t>
      </w:r>
      <w:r>
        <w:rPr>
          <w:color w:val="1F1F1E"/>
          <w:spacing w:val="-3"/>
        </w:rPr>
        <w:t> </w:t>
      </w:r>
      <w:r>
        <w:rPr>
          <w:color w:val="1F1F1E"/>
        </w:rPr>
        <w:t>we</w:t>
      </w:r>
      <w:r>
        <w:rPr>
          <w:color w:val="1F1F1E"/>
          <w:spacing w:val="-3"/>
        </w:rPr>
        <w:t> </w:t>
      </w:r>
      <w:r>
        <w:rPr>
          <w:color w:val="1F1F1E"/>
        </w:rPr>
        <w:t>had</w:t>
      </w:r>
      <w:r>
        <w:rPr>
          <w:color w:val="1F1F1E"/>
          <w:spacing w:val="-3"/>
        </w:rPr>
        <w:t> </w:t>
      </w:r>
      <w:r>
        <w:rPr>
          <w:color w:val="1F1F1E"/>
        </w:rPr>
        <w:t>11</w:t>
      </w:r>
      <w:r>
        <w:rPr>
          <w:color w:val="1F1F1E"/>
          <w:spacing w:val="-2"/>
        </w:rPr>
        <w:t> </w:t>
      </w:r>
      <w:r>
        <w:rPr>
          <w:color w:val="1F1F1E"/>
        </w:rPr>
        <w:t>members</w:t>
      </w:r>
      <w:r>
        <w:rPr>
          <w:color w:val="1F1F1E"/>
          <w:spacing w:val="-3"/>
        </w:rPr>
        <w:t> </w:t>
      </w:r>
      <w:r>
        <w:rPr>
          <w:color w:val="1F1F1E"/>
        </w:rPr>
        <w:t>and</w:t>
      </w:r>
      <w:r>
        <w:rPr>
          <w:color w:val="1F1F1E"/>
          <w:spacing w:val="-3"/>
        </w:rPr>
        <w:t> </w:t>
      </w:r>
      <w:r>
        <w:rPr>
          <w:color w:val="1F1F1E"/>
        </w:rPr>
        <w:t>10</w:t>
      </w:r>
      <w:r>
        <w:rPr>
          <w:color w:val="1F1F1E"/>
          <w:spacing w:val="-3"/>
        </w:rPr>
        <w:t> </w:t>
      </w:r>
      <w:r>
        <w:rPr>
          <w:color w:val="1F1F1E"/>
        </w:rPr>
        <w:t>charges. Furthermore, each year there are charges carried over from the previous year that have not been completed. Even without the pandedmic, meaningfully addressing 10+ charges would be </w:t>
      </w:r>
      <w:r>
        <w:rPr>
          <w:color w:val="1F1F1E"/>
          <w:spacing w:val="-2"/>
        </w:rPr>
        <w:t>challenging.</w:t>
      </w:r>
    </w:p>
    <w:p>
      <w:pPr>
        <w:pStyle w:val="BodyText"/>
        <w:spacing w:before="3"/>
        <w:ind w:left="0"/>
      </w:pPr>
    </w:p>
    <w:p>
      <w:pPr>
        <w:pStyle w:val="BodyText"/>
        <w:ind w:left="100"/>
      </w:pPr>
      <w:r>
        <w:rPr>
          <w:b/>
          <w:color w:val="1F1F1E"/>
        </w:rPr>
        <w:t>Special</w:t>
      </w:r>
      <w:r>
        <w:rPr>
          <w:b/>
          <w:color w:val="1F1F1E"/>
          <w:spacing w:val="-3"/>
        </w:rPr>
        <w:t> </w:t>
      </w:r>
      <w:r>
        <w:rPr>
          <w:b/>
          <w:color w:val="1F1F1E"/>
        </w:rPr>
        <w:t>note</w:t>
      </w:r>
      <w:r>
        <w:rPr>
          <w:color w:val="1F1F1E"/>
        </w:rPr>
        <w:t>:</w:t>
      </w:r>
      <w:r>
        <w:rPr>
          <w:color w:val="1F1F1E"/>
          <w:spacing w:val="-3"/>
        </w:rPr>
        <w:t> </w:t>
      </w:r>
      <w:r>
        <w:rPr>
          <w:color w:val="1F1F1E"/>
        </w:rPr>
        <w:t>We</w:t>
      </w:r>
      <w:r>
        <w:rPr>
          <w:color w:val="1F1F1E"/>
          <w:spacing w:val="-3"/>
        </w:rPr>
        <w:t> </w:t>
      </w:r>
      <w:r>
        <w:rPr>
          <w:color w:val="1F1F1E"/>
        </w:rPr>
        <w:t>deeply</w:t>
      </w:r>
      <w:r>
        <w:rPr>
          <w:color w:val="1F1F1E"/>
          <w:spacing w:val="-3"/>
        </w:rPr>
        <w:t> </w:t>
      </w:r>
      <w:r>
        <w:rPr>
          <w:color w:val="1F1F1E"/>
        </w:rPr>
        <w:t>appreicate</w:t>
      </w:r>
      <w:r>
        <w:rPr>
          <w:color w:val="1F1F1E"/>
          <w:spacing w:val="-3"/>
        </w:rPr>
        <w:t> </w:t>
      </w:r>
      <w:r>
        <w:rPr>
          <w:color w:val="1F1F1E"/>
        </w:rPr>
        <w:t>the</w:t>
      </w:r>
      <w:r>
        <w:rPr>
          <w:color w:val="1F1F1E"/>
          <w:spacing w:val="-2"/>
        </w:rPr>
        <w:t> </w:t>
      </w:r>
      <w:r>
        <w:rPr>
          <w:color w:val="1F1F1E"/>
        </w:rPr>
        <w:t>efforts</w:t>
      </w:r>
      <w:r>
        <w:rPr>
          <w:color w:val="1F1F1E"/>
          <w:spacing w:val="-3"/>
        </w:rPr>
        <w:t> </w:t>
      </w:r>
      <w:r>
        <w:rPr>
          <w:color w:val="1F1F1E"/>
        </w:rPr>
        <w:t>of</w:t>
      </w:r>
      <w:r>
        <w:rPr>
          <w:color w:val="1F1F1E"/>
          <w:spacing w:val="-3"/>
        </w:rPr>
        <w:t> </w:t>
      </w:r>
      <w:r>
        <w:rPr>
          <w:color w:val="1F1F1E"/>
        </w:rPr>
        <w:t>our</w:t>
      </w:r>
      <w:r>
        <w:rPr>
          <w:color w:val="1F1F1E"/>
          <w:spacing w:val="-3"/>
        </w:rPr>
        <w:t> </w:t>
      </w:r>
      <w:r>
        <w:rPr>
          <w:color w:val="1F1F1E"/>
        </w:rPr>
        <w:t>ex-oficio,</w:t>
      </w:r>
      <w:r>
        <w:rPr>
          <w:color w:val="1F1F1E"/>
          <w:spacing w:val="-3"/>
        </w:rPr>
        <w:t> </w:t>
      </w:r>
      <w:r>
        <w:rPr>
          <w:color w:val="1F1F1E"/>
        </w:rPr>
        <w:t>Dr.</w:t>
      </w:r>
      <w:r>
        <w:rPr>
          <w:color w:val="1F1F1E"/>
          <w:spacing w:val="-3"/>
        </w:rPr>
        <w:t> </w:t>
      </w:r>
      <w:r>
        <w:rPr>
          <w:color w:val="1F1F1E"/>
        </w:rPr>
        <w:t>Carl</w:t>
      </w:r>
      <w:r>
        <w:rPr>
          <w:color w:val="1F1F1E"/>
          <w:spacing w:val="-4"/>
        </w:rPr>
        <w:t> </w:t>
      </w:r>
      <w:r>
        <w:rPr>
          <w:color w:val="1F1F1E"/>
        </w:rPr>
        <w:t>Darnell,</w:t>
      </w:r>
      <w:r>
        <w:rPr>
          <w:color w:val="1F1F1E"/>
          <w:spacing w:val="-5"/>
        </w:rPr>
        <w:t> </w:t>
      </w:r>
      <w:r>
        <w:rPr>
          <w:color w:val="1F1F1E"/>
        </w:rPr>
        <w:t>and</w:t>
      </w:r>
      <w:r>
        <w:rPr>
          <w:color w:val="1F1F1E"/>
          <w:spacing w:val="-4"/>
        </w:rPr>
        <w:t> </w:t>
      </w:r>
      <w:r>
        <w:rPr>
          <w:color w:val="1F1F1E"/>
        </w:rPr>
        <w:t>our administrative support from Nancy Boatner.</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1"/>
      </w:pPr>
      <w:rPr>
        <w:rFonts w:hint="default" w:ascii="Symbol" w:hAnsi="Symbol" w:eastAsia="Symbol" w:cs="Symbol"/>
        <w:spacing w:val="0"/>
        <w:w w:val="100"/>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8" w:hanging="361"/>
      </w:pPr>
      <w:rPr>
        <w:rFonts w:hint="default"/>
        <w:lang w:val="en-US" w:eastAsia="en-US" w:bidi="ar-SA"/>
      </w:rPr>
    </w:lvl>
    <w:lvl w:ilvl="3">
      <w:start w:val="0"/>
      <w:numFmt w:val="bullet"/>
      <w:lvlText w:val="•"/>
      <w:lvlJc w:val="left"/>
      <w:pPr>
        <w:ind w:left="3442" w:hanging="361"/>
      </w:pPr>
      <w:rPr>
        <w:rFonts w:hint="default"/>
        <w:lang w:val="en-US" w:eastAsia="en-US" w:bidi="ar-SA"/>
      </w:rPr>
    </w:lvl>
    <w:lvl w:ilvl="4">
      <w:start w:val="0"/>
      <w:numFmt w:val="bullet"/>
      <w:lvlText w:val="•"/>
      <w:lvlJc w:val="left"/>
      <w:pPr>
        <w:ind w:left="4316" w:hanging="361"/>
      </w:pPr>
      <w:rPr>
        <w:rFonts w:hint="default"/>
        <w:lang w:val="en-US" w:eastAsia="en-US" w:bidi="ar-SA"/>
      </w:rPr>
    </w:lvl>
    <w:lvl w:ilvl="5">
      <w:start w:val="0"/>
      <w:numFmt w:val="bullet"/>
      <w:lvlText w:val="•"/>
      <w:lvlJc w:val="left"/>
      <w:pPr>
        <w:ind w:left="5190" w:hanging="361"/>
      </w:pPr>
      <w:rPr>
        <w:rFonts w:hint="default"/>
        <w:lang w:val="en-US" w:eastAsia="en-US" w:bidi="ar-SA"/>
      </w:rPr>
    </w:lvl>
    <w:lvl w:ilvl="6">
      <w:start w:val="0"/>
      <w:numFmt w:val="bullet"/>
      <w:lvlText w:val="•"/>
      <w:lvlJc w:val="left"/>
      <w:pPr>
        <w:ind w:left="6064" w:hanging="361"/>
      </w:pPr>
      <w:rPr>
        <w:rFonts w:hint="default"/>
        <w:lang w:val="en-US" w:eastAsia="en-US" w:bidi="ar-SA"/>
      </w:rPr>
    </w:lvl>
    <w:lvl w:ilvl="7">
      <w:start w:val="0"/>
      <w:numFmt w:val="bullet"/>
      <w:lvlText w:val="•"/>
      <w:lvlJc w:val="left"/>
      <w:pPr>
        <w:ind w:left="6938" w:hanging="361"/>
      </w:pPr>
      <w:rPr>
        <w:rFonts w:hint="default"/>
        <w:lang w:val="en-US" w:eastAsia="en-US" w:bidi="ar-SA"/>
      </w:rPr>
    </w:lvl>
    <w:lvl w:ilvl="8">
      <w:start w:val="0"/>
      <w:numFmt w:val="bullet"/>
      <w:lvlText w:val="•"/>
      <w:lvlJc w:val="left"/>
      <w:pPr>
        <w:ind w:left="781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academicaffairs.iupui.edu/Faculty-Affairs/PromotionTenure/ptreviewupdate/example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2024-05-06T16:07:37Z</dcterms:created>
  <dcterms:modified xsi:type="dcterms:W3CDTF">2024-05-06T16:07:37Z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2024-05-06T00:00:00Z</vt:filetime>
  </property>
  <property fmtid="{D5CDD505-2E9C-101B-9397-08002B2CF9AE}" pid="5" name="Producer">
    <vt:lpwstr>Microsoft® Word 2016</vt:lpwstr>
  </property>
</Properties>
</file>