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DEI</w:t>
      </w:r>
    </w:p>
    <w:p>
      <w:pPr>
        <w:pStyle w:val="Title"/>
        <w:spacing w:before="187"/>
        <w:ind w:right="2"/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Year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b/>
          <w:sz w:val="22"/>
        </w:rPr>
        <w:t>Academic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year:</w:t>
      </w:r>
      <w:r>
        <w:rPr>
          <w:b/>
          <w:spacing w:val="-6"/>
          <w:sz w:val="22"/>
        </w:rPr>
        <w:t> </w:t>
      </w:r>
      <w:r>
        <w:rPr>
          <w:sz w:val="22"/>
        </w:rPr>
        <w:t>2021-</w:t>
      </w:r>
      <w:r>
        <w:rPr>
          <w:spacing w:val="-4"/>
          <w:sz w:val="22"/>
        </w:rPr>
        <w:t>2022</w:t>
      </w:r>
    </w:p>
    <w:p>
      <w:pPr>
        <w:spacing w:before="180"/>
        <w:ind w:left="120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submitted:</w:t>
      </w:r>
      <w:r>
        <w:rPr>
          <w:b/>
          <w:spacing w:val="-3"/>
          <w:sz w:val="22"/>
        </w:rPr>
        <w:t> </w:t>
      </w:r>
      <w:r>
        <w:rPr>
          <w:sz w:val="22"/>
        </w:rPr>
        <w:t>April</w:t>
      </w:r>
      <w:r>
        <w:rPr>
          <w:spacing w:val="-4"/>
          <w:sz w:val="22"/>
        </w:rPr>
        <w:t> </w:t>
      </w:r>
      <w:r>
        <w:rPr>
          <w:sz w:val="22"/>
        </w:rPr>
        <w:t>11,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2022</w:t>
      </w:r>
    </w:p>
    <w:p>
      <w:pPr>
        <w:spacing w:line="259" w:lineRule="auto" w:before="180"/>
        <w:ind w:left="120" w:right="514" w:firstLine="0"/>
        <w:jc w:val="left"/>
        <w:rPr>
          <w:rFonts w:ascii="Times New Roman" w:hAnsi="Times New Roman"/>
          <w:sz w:val="24"/>
        </w:rPr>
      </w:pPr>
      <w:r>
        <w:rPr>
          <w:b/>
          <w:sz w:val="22"/>
        </w:rPr>
        <w:t>Committee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Membership:</w:t>
      </w:r>
      <w:r>
        <w:rPr>
          <w:b/>
          <w:spacing w:val="-7"/>
          <w:sz w:val="22"/>
        </w:rPr>
        <w:t> </w:t>
      </w:r>
      <w:r>
        <w:rPr>
          <w:rFonts w:ascii="Times New Roman" w:hAnsi="Times New Roman"/>
          <w:sz w:val="24"/>
        </w:rPr>
        <w:t>Tina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O’Neal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(co-chair),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Gamze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Ozogul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(co-chair),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Charlotte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Agger, Dave Shriberg, Erik Jacobson, Cindy Ann Kilgo, Ellen Vaughan</w:t>
      </w:r>
      <w:r>
        <w:rPr>
          <w:rFonts w:ascii="Times New Roman" w:hAnsi="Times New Roman"/>
          <w:b/>
          <w:sz w:val="24"/>
        </w:rPr>
        <w:t>, </w:t>
      </w:r>
      <w:r>
        <w:rPr>
          <w:rFonts w:ascii="Times New Roman" w:hAnsi="Times New Roman"/>
          <w:sz w:val="24"/>
        </w:rPr>
        <w:t>Quinten Wheeler-Bell, Gabriele Abowd Damico</w:t>
      </w:r>
    </w:p>
    <w:p>
      <w:pPr>
        <w:spacing w:before="16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Dates:</w:t>
      </w:r>
    </w:p>
    <w:p>
      <w:pPr>
        <w:pStyle w:val="BodyText"/>
        <w:spacing w:before="182"/>
        <w:ind w:left="120"/>
      </w:pPr>
      <w:r>
        <w:rPr/>
        <w:t>September</w:t>
      </w:r>
      <w:r>
        <w:rPr>
          <w:spacing w:val="-7"/>
        </w:rPr>
        <w:t> </w:t>
      </w:r>
      <w:r>
        <w:rPr/>
        <w:t>13,</w:t>
      </w:r>
      <w:r>
        <w:rPr>
          <w:spacing w:val="-5"/>
        </w:rPr>
        <w:t> </w:t>
      </w:r>
      <w:r>
        <w:rPr/>
        <w:t>2021,</w:t>
      </w:r>
      <w:r>
        <w:rPr>
          <w:spacing w:val="-3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18,</w:t>
      </w:r>
      <w:r>
        <w:rPr>
          <w:spacing w:val="-4"/>
        </w:rPr>
        <w:t> </w:t>
      </w:r>
      <w:r>
        <w:rPr/>
        <w:t>2021,</w:t>
      </w:r>
      <w:r>
        <w:rPr>
          <w:spacing w:val="-5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15,</w:t>
      </w:r>
      <w:r>
        <w:rPr>
          <w:spacing w:val="-3"/>
        </w:rPr>
        <w:t> </w:t>
      </w:r>
      <w:r>
        <w:rPr/>
        <w:t>2021,</w:t>
      </w:r>
      <w:r>
        <w:rPr>
          <w:spacing w:val="-6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13,</w:t>
      </w:r>
      <w:r>
        <w:rPr>
          <w:spacing w:val="-5"/>
        </w:rPr>
        <w:t> </w:t>
      </w:r>
      <w:r>
        <w:rPr/>
        <w:t>2021,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24,</w:t>
      </w:r>
      <w:r>
        <w:rPr>
          <w:spacing w:val="-4"/>
        </w:rPr>
        <w:t> </w:t>
      </w:r>
      <w:r>
        <w:rPr>
          <w:spacing w:val="-2"/>
        </w:rPr>
        <w:t>2022,</w:t>
      </w:r>
    </w:p>
    <w:p>
      <w:pPr>
        <w:pStyle w:val="BodyText"/>
        <w:spacing w:before="22"/>
        <w:ind w:left="120"/>
      </w:pPr>
      <w:r>
        <w:rPr/>
        <w:t>February</w:t>
      </w:r>
      <w:r>
        <w:rPr>
          <w:spacing w:val="-1"/>
        </w:rPr>
        <w:t> </w:t>
      </w:r>
      <w:r>
        <w:rPr/>
        <w:t>21,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March</w:t>
      </w:r>
      <w:r>
        <w:rPr>
          <w:spacing w:val="-5"/>
        </w:rPr>
        <w:t> </w:t>
      </w:r>
      <w:r>
        <w:rPr/>
        <w:t>21,</w:t>
      </w:r>
      <w:r>
        <w:rPr>
          <w:spacing w:val="-4"/>
        </w:rPr>
        <w:t> </w:t>
      </w:r>
      <w:r>
        <w:rPr/>
        <w:t>2022,</w:t>
      </w:r>
      <w:r>
        <w:rPr>
          <w:spacing w:val="-2"/>
        </w:rPr>
        <w:t> </w:t>
      </w:r>
      <w:r>
        <w:rPr/>
        <w:t>April</w:t>
      </w:r>
      <w:r>
        <w:rPr>
          <w:spacing w:val="-5"/>
        </w:rPr>
        <w:t> </w:t>
      </w:r>
      <w:r>
        <w:rPr/>
        <w:t>25,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spacing w:before="180"/>
        <w:ind w:left="12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committee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was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divided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into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sub-committees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tasked with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following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charges:</w:t>
      </w:r>
    </w:p>
    <w:p>
      <w:pPr>
        <w:pStyle w:val="BodyText"/>
        <w:spacing w:before="11"/>
        <w:rPr>
          <w:rFonts w:ascii="Times New Roman"/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6660"/>
      </w:tblGrid>
      <w:tr>
        <w:trPr>
          <w:trHeight w:val="1103" w:hRule="atLeast"/>
        </w:trPr>
        <w:tc>
          <w:tcPr>
            <w:tcW w:w="224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-Determine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implementation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-Determine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responsibilities of each</w:t>
            </w:r>
          </w:p>
        </w:tc>
      </w:tr>
      <w:tr>
        <w:trPr>
          <w:trHeight w:val="1379" w:hRule="atLeast"/>
        </w:trPr>
        <w:tc>
          <w:tcPr>
            <w:tcW w:w="224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Organize and facilitate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 Educate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(TEA) Talks to create ongoing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faculty,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courageous and risk-taking conversations about DEI. (From diversity plan)</w:t>
            </w:r>
          </w:p>
        </w:tc>
      </w:tr>
      <w:tr>
        <w:trPr>
          <w:trHeight w:val="1103" w:hRule="atLeast"/>
        </w:trPr>
        <w:tc>
          <w:tcPr>
            <w:tcW w:w="224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660" w:type="dxa"/>
          </w:tcPr>
          <w:p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“toolkit”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faculty searches and a tool kit to explore creative options to attract faculty of color.</w:t>
            </w:r>
          </w:p>
        </w:tc>
      </w:tr>
      <w:tr>
        <w:trPr>
          <w:trHeight w:val="551" w:hRule="atLeast"/>
        </w:trPr>
        <w:tc>
          <w:tcPr>
            <w:tcW w:w="224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6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P&amp;T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criteria</w:t>
            </w:r>
          </w:p>
        </w:tc>
      </w:tr>
    </w:tbl>
    <w:p>
      <w:pPr>
        <w:pStyle w:val="BodyText"/>
        <w:spacing w:before="176"/>
        <w:rPr>
          <w:rFonts w:ascii="Times New Roman"/>
          <w:b/>
          <w:sz w:val="24"/>
        </w:rPr>
      </w:pPr>
    </w:p>
    <w:p>
      <w:pPr>
        <w:pStyle w:val="BodyText"/>
        <w:ind w:left="120"/>
      </w:pPr>
      <w:r>
        <w:rPr/>
        <w:t>Additional</w:t>
      </w:r>
      <w:r>
        <w:rPr>
          <w:spacing w:val="-6"/>
        </w:rPr>
        <w:t> </w:t>
      </w:r>
      <w:r>
        <w:rPr/>
        <w:t>faculty</w:t>
      </w:r>
      <w:r>
        <w:rPr>
          <w:spacing w:val="-4"/>
        </w:rPr>
        <w:t> </w:t>
      </w:r>
      <w:r>
        <w:rPr/>
        <w:t>retreat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tasks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>
          <w:spacing w:val="-2"/>
        </w:rPr>
        <w:t>added.</w:t>
      </w:r>
    </w:p>
    <w:p>
      <w:pPr>
        <w:pStyle w:val="BodyText"/>
        <w:spacing w:before="180"/>
        <w:ind w:left="120"/>
      </w:pPr>
      <w:r>
        <w:rPr/>
        <w:t>For</w:t>
      </w:r>
      <w:r>
        <w:rPr>
          <w:spacing w:val="-6"/>
        </w:rPr>
        <w:t> </w:t>
      </w:r>
      <w:r>
        <w:rPr/>
        <w:t>goals,</w:t>
      </w:r>
      <w:r>
        <w:rPr>
          <w:spacing w:val="-4"/>
        </w:rPr>
        <w:t> </w:t>
      </w:r>
      <w:r>
        <w:rPr/>
        <w:t>charges,</w:t>
      </w:r>
      <w:r>
        <w:rPr>
          <w:spacing w:val="-3"/>
        </w:rPr>
        <w:t> </w:t>
      </w:r>
      <w:r>
        <w:rPr/>
        <w:t>actions,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outcomes,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>
          <w:color w:val="0562C1"/>
          <w:spacing w:val="-2"/>
          <w:u w:val="single" w:color="0562C1"/>
        </w:rPr>
        <w:t>here</w:t>
      </w:r>
      <w:r>
        <w:rPr>
          <w:spacing w:val="-2"/>
          <w:u w:val="none"/>
        </w:rPr>
        <w:t>:</w:t>
      </w:r>
    </w:p>
    <w:p>
      <w:pPr>
        <w:pStyle w:val="BodyText"/>
        <w:spacing w:before="183"/>
        <w:ind w:left="120"/>
      </w:pPr>
      <w:r>
        <w:rPr/>
        <w:t>Update</w:t>
      </w:r>
      <w:r>
        <w:rPr>
          <w:spacing w:val="-3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4"/>
        </w:rPr>
        <w:t>DEI.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19"/>
      </w:pPr>
      <w:r>
        <w:rPr/>
        <w:t>Recommendations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spacing w:after="0"/>
        <w:sectPr>
          <w:type w:val="continuous"/>
          <w:pgSz w:w="12240" w:h="15840"/>
          <w:pgMar w:top="1420" w:bottom="280" w:left="1320" w:right="1420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79" w:after="0"/>
        <w:ind w:left="840" w:right="102" w:hanging="361"/>
        <w:jc w:val="left"/>
        <w:rPr>
          <w:sz w:val="22"/>
        </w:rPr>
      </w:pPr>
      <w:r>
        <w:rPr>
          <w:sz w:val="22"/>
        </w:rPr>
        <w:t>Collective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recommends</w:t>
      </w:r>
      <w:r>
        <w:rPr>
          <w:spacing w:val="-2"/>
          <w:sz w:val="22"/>
        </w:rPr>
        <w:t> </w:t>
      </w:r>
      <w:r>
        <w:rPr>
          <w:sz w:val="22"/>
        </w:rPr>
        <w:t>focusing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year’s</w:t>
      </w:r>
      <w:r>
        <w:rPr>
          <w:spacing w:val="-2"/>
          <w:sz w:val="22"/>
        </w:rPr>
        <w:t> </w:t>
      </w:r>
      <w:r>
        <w:rPr>
          <w:sz w:val="22"/>
        </w:rPr>
        <w:t>efforts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or two charges.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407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recommends</w:t>
      </w:r>
      <w:r>
        <w:rPr>
          <w:spacing w:val="-4"/>
          <w:sz w:val="22"/>
        </w:rPr>
        <w:t> </w:t>
      </w:r>
      <w:r>
        <w:rPr>
          <w:sz w:val="22"/>
        </w:rPr>
        <w:t>voting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2"/>
          <w:sz w:val="22"/>
        </w:rPr>
        <w:t> </w:t>
      </w:r>
      <w:r>
        <w:rPr>
          <w:sz w:val="22"/>
        </w:rPr>
        <w:t>charges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retreat feedback and diversity plan. This year there was a heavy focus on retreat discussions and preparation activities which replaced the time for work to be completed on the Charges.</w:t>
      </w:r>
    </w:p>
    <w:p>
      <w:pPr>
        <w:pStyle w:val="BodyText"/>
        <w:spacing w:before="158"/>
        <w:ind w:left="120"/>
      </w:pPr>
      <w:r>
        <w:rPr/>
        <w:t>Other</w:t>
      </w:r>
      <w:r>
        <w:rPr>
          <w:spacing w:val="-6"/>
        </w:rPr>
        <w:t> </w:t>
      </w:r>
      <w:r>
        <w:rPr/>
        <w:t>comments:</w:t>
      </w:r>
      <w:r>
        <w:rPr>
          <w:spacing w:val="-5"/>
        </w:rPr>
        <w:t> </w:t>
      </w:r>
      <w:hyperlink r:id="rId5">
        <w:r>
          <w:rPr>
            <w:color w:val="0562C1"/>
            <w:u w:val="single" w:color="0562C1"/>
          </w:rPr>
          <w:t>Faculty</w:t>
        </w:r>
        <w:r>
          <w:rPr>
            <w:color w:val="0562C1"/>
            <w:spacing w:val="-4"/>
            <w:u w:val="single" w:color="0562C1"/>
          </w:rPr>
          <w:t> </w:t>
        </w:r>
        <w:r>
          <w:rPr>
            <w:color w:val="0562C1"/>
            <w:spacing w:val="-2"/>
            <w:u w:val="single" w:color="0562C1"/>
          </w:rPr>
          <w:t>Retreat</w:t>
        </w:r>
      </w:hyperlink>
    </w:p>
    <w:sectPr>
      <w:pgSz w:w="12240" w:h="15840"/>
      <w:pgMar w:top="136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00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right="10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cs.google.com/presentation/d/1F26Shrqwt29v29sPJ5pGjyJFUaOBgfLozxis9vWLWuw/edit#slide%3Did.g113faf86ba0_34_30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2024-05-06T16:10:40Z</dcterms:created>
  <dcterms:modified xsi:type="dcterms:W3CDTF">2024-05-06T16:10:40Z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2024-05-06T00:00:00Z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D:20220412135136</vt:lpwstr>
  </property>
</Properties>
</file>