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2CF68" w14:textId="726F0894" w:rsidR="00F47839" w:rsidRPr="00F47839" w:rsidRDefault="00F47839">
      <w:pPr>
        <w:rPr>
          <w:rFonts w:ascii="Times New Roman" w:hAnsi="Times New Roman" w:cs="Times New Roman"/>
        </w:rPr>
      </w:pPr>
      <w:r w:rsidRPr="00F47839">
        <w:rPr>
          <w:rFonts w:ascii="Times New Roman" w:hAnsi="Times New Roman" w:cs="Times New Roman"/>
        </w:rPr>
        <w:t xml:space="preserve">2023-2024 Diversity Committee Annual Report </w:t>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3373"/>
        <w:gridCol w:w="3415"/>
        <w:gridCol w:w="1773"/>
        <w:gridCol w:w="2012"/>
        <w:gridCol w:w="1188"/>
      </w:tblGrid>
      <w:tr w:rsidR="00F47839" w:rsidRPr="00F47839" w14:paraId="605A33A2" w14:textId="3C82F730" w:rsidTr="00F47839">
        <w:trPr>
          <w:trHeight w:val="710"/>
        </w:trPr>
        <w:tc>
          <w:tcPr>
            <w:tcW w:w="1194" w:type="dxa"/>
            <w:shd w:val="clear" w:color="auto" w:fill="auto"/>
            <w:noWrap/>
            <w:vAlign w:val="center"/>
          </w:tcPr>
          <w:p w14:paraId="076DAC88" w14:textId="0CA1CA8E" w:rsidR="00F47839" w:rsidRPr="00F47839" w:rsidRDefault="00F47839" w:rsidP="00F47839">
            <w:pPr>
              <w:spacing w:after="0" w:line="240" w:lineRule="auto"/>
              <w:jc w:val="center"/>
              <w:rPr>
                <w:rFonts w:ascii="Times New Roman" w:eastAsia="Times New Roman" w:hAnsi="Times New Roman" w:cs="Times New Roman"/>
                <w:color w:val="000000"/>
                <w:kern w:val="0"/>
                <w14:ligatures w14:val="none"/>
              </w:rPr>
            </w:pPr>
            <w:r w:rsidRPr="00F47839">
              <w:rPr>
                <w:rFonts w:ascii="Times New Roman" w:eastAsia="Times New Roman" w:hAnsi="Times New Roman" w:cs="Times New Roman"/>
                <w:color w:val="000000"/>
                <w:kern w:val="0"/>
                <w14:ligatures w14:val="none"/>
              </w:rPr>
              <w:t>Committee</w:t>
            </w:r>
          </w:p>
        </w:tc>
        <w:tc>
          <w:tcPr>
            <w:tcW w:w="3373" w:type="dxa"/>
            <w:shd w:val="clear" w:color="auto" w:fill="auto"/>
            <w:vAlign w:val="center"/>
          </w:tcPr>
          <w:p w14:paraId="15808FE9" w14:textId="2CC62FC0" w:rsidR="00F47839" w:rsidRPr="00F47839" w:rsidRDefault="00F47839" w:rsidP="00F47839">
            <w:pPr>
              <w:spacing w:after="0" w:line="240" w:lineRule="auto"/>
              <w:jc w:val="center"/>
              <w:rPr>
                <w:rFonts w:ascii="Times New Roman" w:eastAsia="Times New Roman" w:hAnsi="Times New Roman" w:cs="Times New Roman"/>
                <w:color w:val="000000"/>
                <w:kern w:val="0"/>
                <w14:ligatures w14:val="none"/>
              </w:rPr>
            </w:pPr>
            <w:r w:rsidRPr="00F47839">
              <w:rPr>
                <w:rFonts w:ascii="Times New Roman" w:eastAsia="Times New Roman" w:hAnsi="Times New Roman" w:cs="Times New Roman"/>
                <w:color w:val="000000"/>
                <w:kern w:val="0"/>
                <w14:ligatures w14:val="none"/>
              </w:rPr>
              <w:t>Charges</w:t>
            </w:r>
          </w:p>
        </w:tc>
        <w:tc>
          <w:tcPr>
            <w:tcW w:w="3415" w:type="dxa"/>
            <w:shd w:val="clear" w:color="auto" w:fill="auto"/>
            <w:noWrap/>
            <w:vAlign w:val="center"/>
          </w:tcPr>
          <w:p w14:paraId="001DA175" w14:textId="4A229F42" w:rsidR="00F47839" w:rsidRPr="00F47839" w:rsidRDefault="00F47839" w:rsidP="00F47839">
            <w:pPr>
              <w:spacing w:after="0" w:line="240" w:lineRule="auto"/>
              <w:jc w:val="center"/>
              <w:rPr>
                <w:rFonts w:ascii="Times New Roman" w:eastAsia="Times New Roman" w:hAnsi="Times New Roman" w:cs="Times New Roman"/>
                <w:color w:val="000000"/>
                <w:kern w:val="0"/>
                <w14:ligatures w14:val="none"/>
              </w:rPr>
            </w:pPr>
            <w:r w:rsidRPr="00F47839">
              <w:rPr>
                <w:rFonts w:ascii="Times New Roman" w:eastAsia="Times New Roman" w:hAnsi="Times New Roman" w:cs="Times New Roman"/>
                <w:color w:val="000000"/>
                <w:kern w:val="0"/>
                <w14:ligatures w14:val="none"/>
              </w:rPr>
              <w:t>Progress</w:t>
            </w:r>
          </w:p>
        </w:tc>
        <w:tc>
          <w:tcPr>
            <w:tcW w:w="1773" w:type="dxa"/>
            <w:shd w:val="clear" w:color="auto" w:fill="auto"/>
            <w:noWrap/>
            <w:vAlign w:val="center"/>
          </w:tcPr>
          <w:p w14:paraId="0BC7C7BE" w14:textId="2D447DE5" w:rsidR="00F47839" w:rsidRPr="00F47839" w:rsidRDefault="00F47839" w:rsidP="00F47839">
            <w:pPr>
              <w:spacing w:after="0" w:line="240" w:lineRule="auto"/>
              <w:jc w:val="center"/>
              <w:rPr>
                <w:rFonts w:ascii="Times New Roman" w:eastAsia="Times New Roman" w:hAnsi="Times New Roman" w:cs="Times New Roman"/>
                <w:color w:val="000000"/>
                <w:kern w:val="0"/>
                <w14:ligatures w14:val="none"/>
              </w:rPr>
            </w:pPr>
            <w:r w:rsidRPr="00F47839">
              <w:rPr>
                <w:rFonts w:ascii="Times New Roman" w:eastAsia="Times New Roman" w:hAnsi="Times New Roman" w:cs="Times New Roman"/>
                <w:color w:val="000000"/>
                <w:kern w:val="0"/>
                <w14:ligatures w14:val="none"/>
              </w:rPr>
              <w:t>Barriers, if any</w:t>
            </w:r>
          </w:p>
        </w:tc>
        <w:tc>
          <w:tcPr>
            <w:tcW w:w="2012" w:type="dxa"/>
            <w:shd w:val="clear" w:color="auto" w:fill="auto"/>
            <w:noWrap/>
            <w:vAlign w:val="center"/>
          </w:tcPr>
          <w:p w14:paraId="0A468D62" w14:textId="379E88A4" w:rsidR="00F47839" w:rsidRPr="00F47839" w:rsidRDefault="00F47839" w:rsidP="00F47839">
            <w:pPr>
              <w:spacing w:after="0" w:line="240" w:lineRule="auto"/>
              <w:jc w:val="center"/>
              <w:rPr>
                <w:rFonts w:ascii="Times New Roman" w:eastAsia="Times New Roman" w:hAnsi="Times New Roman" w:cs="Times New Roman"/>
                <w:color w:val="000000"/>
                <w:kern w:val="0"/>
                <w14:ligatures w14:val="none"/>
              </w:rPr>
            </w:pPr>
            <w:r w:rsidRPr="00F47839">
              <w:rPr>
                <w:rFonts w:ascii="Times New Roman" w:eastAsia="Times New Roman" w:hAnsi="Times New Roman" w:cs="Times New Roman"/>
                <w:color w:val="000000"/>
                <w:kern w:val="0"/>
                <w14:ligatures w14:val="none"/>
              </w:rPr>
              <w:t>Estimated Completion Date</w:t>
            </w:r>
          </w:p>
        </w:tc>
        <w:tc>
          <w:tcPr>
            <w:tcW w:w="1188" w:type="dxa"/>
            <w:vAlign w:val="center"/>
          </w:tcPr>
          <w:p w14:paraId="0751BECA" w14:textId="57ECDC3C" w:rsidR="00F47839" w:rsidRPr="00F47839" w:rsidRDefault="00F47839" w:rsidP="00F47839">
            <w:pPr>
              <w:spacing w:after="0" w:line="240" w:lineRule="auto"/>
              <w:jc w:val="center"/>
              <w:rPr>
                <w:rFonts w:ascii="Times New Roman" w:eastAsia="Times New Roman" w:hAnsi="Times New Roman" w:cs="Times New Roman"/>
                <w:color w:val="000000"/>
                <w:kern w:val="0"/>
                <w14:ligatures w14:val="none"/>
              </w:rPr>
            </w:pPr>
            <w:r w:rsidRPr="00F47839">
              <w:rPr>
                <w:rFonts w:ascii="Times New Roman" w:eastAsia="Times New Roman" w:hAnsi="Times New Roman" w:cs="Times New Roman"/>
                <w:color w:val="000000"/>
                <w:kern w:val="0"/>
                <w14:ligatures w14:val="none"/>
              </w:rPr>
              <w:t>Additional Notes</w:t>
            </w:r>
          </w:p>
        </w:tc>
      </w:tr>
      <w:tr w:rsidR="00F47839" w:rsidRPr="00F47839" w14:paraId="5FEE2DEE" w14:textId="6610F065" w:rsidTr="00F47839">
        <w:trPr>
          <w:trHeight w:val="255"/>
        </w:trPr>
        <w:tc>
          <w:tcPr>
            <w:tcW w:w="1194" w:type="dxa"/>
            <w:vMerge w:val="restart"/>
            <w:shd w:val="clear" w:color="auto" w:fill="auto"/>
            <w:noWrap/>
            <w:vAlign w:val="center"/>
            <w:hideMark/>
          </w:tcPr>
          <w:p w14:paraId="410AFF7B" w14:textId="77777777" w:rsidR="00F47839" w:rsidRPr="00F47839" w:rsidRDefault="00F47839" w:rsidP="00F47839">
            <w:pPr>
              <w:spacing w:after="0" w:line="240" w:lineRule="auto"/>
              <w:jc w:val="center"/>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Diversity Committee</w:t>
            </w:r>
          </w:p>
        </w:tc>
        <w:tc>
          <w:tcPr>
            <w:tcW w:w="3373" w:type="dxa"/>
            <w:shd w:val="clear" w:color="auto" w:fill="auto"/>
            <w:hideMark/>
          </w:tcPr>
          <w:p w14:paraId="5DF7EA06"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Charge 1: TEA Talks.</w:t>
            </w:r>
          </w:p>
        </w:tc>
        <w:tc>
          <w:tcPr>
            <w:tcW w:w="3415" w:type="dxa"/>
            <w:shd w:val="clear" w:color="auto" w:fill="auto"/>
            <w:noWrap/>
            <w:hideMark/>
          </w:tcPr>
          <w:p w14:paraId="0AD9C7F1"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Ongoing, no problems.</w:t>
            </w:r>
          </w:p>
        </w:tc>
        <w:tc>
          <w:tcPr>
            <w:tcW w:w="1773" w:type="dxa"/>
            <w:shd w:val="clear" w:color="auto" w:fill="auto"/>
            <w:noWrap/>
            <w:hideMark/>
          </w:tcPr>
          <w:p w14:paraId="5FD82145"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No</w:t>
            </w:r>
          </w:p>
        </w:tc>
        <w:tc>
          <w:tcPr>
            <w:tcW w:w="2012" w:type="dxa"/>
            <w:shd w:val="clear" w:color="auto" w:fill="auto"/>
            <w:noWrap/>
            <w:hideMark/>
          </w:tcPr>
          <w:p w14:paraId="0181412B"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 </w:t>
            </w:r>
          </w:p>
        </w:tc>
        <w:tc>
          <w:tcPr>
            <w:tcW w:w="1188" w:type="dxa"/>
          </w:tcPr>
          <w:p w14:paraId="32E3488E"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p>
        </w:tc>
      </w:tr>
      <w:tr w:rsidR="00F47839" w:rsidRPr="00F47839" w14:paraId="3B7A9CC5" w14:textId="54633EB6" w:rsidTr="00F47839">
        <w:trPr>
          <w:trHeight w:val="765"/>
        </w:trPr>
        <w:tc>
          <w:tcPr>
            <w:tcW w:w="1194" w:type="dxa"/>
            <w:vMerge/>
            <w:vAlign w:val="center"/>
            <w:hideMark/>
          </w:tcPr>
          <w:p w14:paraId="4F64F0B5"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p>
        </w:tc>
        <w:tc>
          <w:tcPr>
            <w:tcW w:w="3373" w:type="dxa"/>
            <w:shd w:val="clear" w:color="auto" w:fill="auto"/>
            <w:hideMark/>
          </w:tcPr>
          <w:p w14:paraId="6E732326"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 xml:space="preserve">Charge 2: Promotion &amp; Tenure  - Review the processes to support faculty in the P&amp;T process. Consult with FABA &amp; Faculty Development, as needed, and provide recommendations to those committees for any necessary changes. </w:t>
            </w:r>
          </w:p>
        </w:tc>
        <w:tc>
          <w:tcPr>
            <w:tcW w:w="3415" w:type="dxa"/>
            <w:shd w:val="clear" w:color="auto" w:fill="auto"/>
            <w:noWrap/>
            <w:hideMark/>
          </w:tcPr>
          <w:p w14:paraId="52184903" w14:textId="0B73FE49"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 xml:space="preserve">We were able to engage the PC in approving a "process" for auditing pre-tenure mentoring. We have a draft support guide with questions to be used by mentors. This is the basis for </w:t>
            </w:r>
            <w:r w:rsidRPr="00F47839">
              <w:rPr>
                <w:rFonts w:ascii="Times New Roman" w:eastAsia="Times New Roman" w:hAnsi="Times New Roman" w:cs="Times New Roman"/>
                <w:color w:val="000000"/>
                <w:kern w:val="0"/>
                <w:sz w:val="20"/>
                <w:szCs w:val="20"/>
                <w14:ligatures w14:val="none"/>
              </w:rPr>
              <w:t>further</w:t>
            </w:r>
            <w:r w:rsidRPr="00F47839">
              <w:rPr>
                <w:rFonts w:ascii="Times New Roman" w:eastAsia="Times New Roman" w:hAnsi="Times New Roman" w:cs="Times New Roman"/>
                <w:color w:val="000000"/>
                <w:kern w:val="0"/>
                <w:sz w:val="20"/>
                <w:szCs w:val="20"/>
                <w14:ligatures w14:val="none"/>
              </w:rPr>
              <w:t xml:space="preserve"> P&amp;T guidance but that needs to be done next year.</w:t>
            </w:r>
          </w:p>
        </w:tc>
        <w:tc>
          <w:tcPr>
            <w:tcW w:w="1773" w:type="dxa"/>
            <w:shd w:val="clear" w:color="auto" w:fill="auto"/>
            <w:noWrap/>
            <w:hideMark/>
          </w:tcPr>
          <w:p w14:paraId="08B5DAA0"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No</w:t>
            </w:r>
          </w:p>
        </w:tc>
        <w:tc>
          <w:tcPr>
            <w:tcW w:w="2012" w:type="dxa"/>
            <w:shd w:val="clear" w:color="auto" w:fill="auto"/>
            <w:noWrap/>
            <w:hideMark/>
          </w:tcPr>
          <w:p w14:paraId="4390DA22"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Could be completed by 11/24</w:t>
            </w:r>
          </w:p>
        </w:tc>
        <w:tc>
          <w:tcPr>
            <w:tcW w:w="1188" w:type="dxa"/>
          </w:tcPr>
          <w:p w14:paraId="7E699EC2"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p>
        </w:tc>
      </w:tr>
      <w:tr w:rsidR="00F47839" w:rsidRPr="00F47839" w14:paraId="100FA42B" w14:textId="34FC8618" w:rsidTr="00F47839">
        <w:trPr>
          <w:trHeight w:val="255"/>
        </w:trPr>
        <w:tc>
          <w:tcPr>
            <w:tcW w:w="1194" w:type="dxa"/>
            <w:vMerge/>
            <w:vAlign w:val="center"/>
            <w:hideMark/>
          </w:tcPr>
          <w:p w14:paraId="69DD0ACE"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p>
        </w:tc>
        <w:tc>
          <w:tcPr>
            <w:tcW w:w="3373" w:type="dxa"/>
            <w:shd w:val="clear" w:color="auto" w:fill="auto"/>
            <w:noWrap/>
            <w:hideMark/>
          </w:tcPr>
          <w:p w14:paraId="5FF4677C"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Charge 3: Review and advise the SoE CARES team implementation plan.</w:t>
            </w:r>
          </w:p>
        </w:tc>
        <w:tc>
          <w:tcPr>
            <w:tcW w:w="3415" w:type="dxa"/>
            <w:shd w:val="clear" w:color="auto" w:fill="auto"/>
            <w:noWrap/>
            <w:hideMark/>
          </w:tcPr>
          <w:p w14:paraId="3E32FA68" w14:textId="2D4F0C0F"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p>
        </w:tc>
        <w:tc>
          <w:tcPr>
            <w:tcW w:w="1773" w:type="dxa"/>
            <w:shd w:val="clear" w:color="auto" w:fill="auto"/>
            <w:noWrap/>
            <w:hideMark/>
          </w:tcPr>
          <w:p w14:paraId="44BD3302"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No</w:t>
            </w:r>
          </w:p>
        </w:tc>
        <w:tc>
          <w:tcPr>
            <w:tcW w:w="2012" w:type="dxa"/>
            <w:shd w:val="clear" w:color="auto" w:fill="auto"/>
            <w:noWrap/>
            <w:hideMark/>
          </w:tcPr>
          <w:p w14:paraId="295ABBA7"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 </w:t>
            </w:r>
          </w:p>
        </w:tc>
        <w:tc>
          <w:tcPr>
            <w:tcW w:w="1188" w:type="dxa"/>
          </w:tcPr>
          <w:p w14:paraId="56B105E2"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p>
        </w:tc>
      </w:tr>
      <w:tr w:rsidR="00F47839" w:rsidRPr="00F47839" w14:paraId="76D855DA" w14:textId="603B8DA9" w:rsidTr="00F47839">
        <w:trPr>
          <w:trHeight w:val="510"/>
        </w:trPr>
        <w:tc>
          <w:tcPr>
            <w:tcW w:w="1194" w:type="dxa"/>
            <w:vMerge/>
            <w:vAlign w:val="center"/>
            <w:hideMark/>
          </w:tcPr>
          <w:p w14:paraId="4319CD8D"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p>
        </w:tc>
        <w:tc>
          <w:tcPr>
            <w:tcW w:w="3373" w:type="dxa"/>
            <w:shd w:val="clear" w:color="auto" w:fill="auto"/>
            <w:hideMark/>
          </w:tcPr>
          <w:p w14:paraId="4FEF8272"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 xml:space="preserve">Charge 4: May be called upon to consult on creating implementation plans privy to committee work as it related to the Strategic and Diversity Plans. </w:t>
            </w:r>
          </w:p>
        </w:tc>
        <w:tc>
          <w:tcPr>
            <w:tcW w:w="3415" w:type="dxa"/>
            <w:shd w:val="clear" w:color="auto" w:fill="auto"/>
            <w:noWrap/>
            <w:hideMark/>
          </w:tcPr>
          <w:p w14:paraId="326C42A8" w14:textId="4C8E5E36"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p>
        </w:tc>
        <w:tc>
          <w:tcPr>
            <w:tcW w:w="1773" w:type="dxa"/>
            <w:shd w:val="clear" w:color="auto" w:fill="auto"/>
            <w:noWrap/>
            <w:hideMark/>
          </w:tcPr>
          <w:p w14:paraId="7E45E871"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No</w:t>
            </w:r>
          </w:p>
        </w:tc>
        <w:tc>
          <w:tcPr>
            <w:tcW w:w="2012" w:type="dxa"/>
            <w:shd w:val="clear" w:color="auto" w:fill="auto"/>
            <w:noWrap/>
            <w:hideMark/>
          </w:tcPr>
          <w:p w14:paraId="5AF326D8"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 </w:t>
            </w:r>
          </w:p>
        </w:tc>
        <w:tc>
          <w:tcPr>
            <w:tcW w:w="1188" w:type="dxa"/>
          </w:tcPr>
          <w:p w14:paraId="67B66F13"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p>
        </w:tc>
      </w:tr>
      <w:tr w:rsidR="00F47839" w:rsidRPr="00F47839" w14:paraId="64983E34" w14:textId="5CD00E35" w:rsidTr="00F47839">
        <w:trPr>
          <w:trHeight w:val="510"/>
        </w:trPr>
        <w:tc>
          <w:tcPr>
            <w:tcW w:w="1194" w:type="dxa"/>
            <w:vMerge/>
            <w:shd w:val="clear" w:color="auto" w:fill="auto"/>
            <w:noWrap/>
            <w:vAlign w:val="center"/>
            <w:hideMark/>
          </w:tcPr>
          <w:p w14:paraId="64627B76"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p>
        </w:tc>
        <w:tc>
          <w:tcPr>
            <w:tcW w:w="3373" w:type="dxa"/>
            <w:shd w:val="clear" w:color="auto" w:fill="auto"/>
            <w:hideMark/>
          </w:tcPr>
          <w:p w14:paraId="31275408"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Note a charge, but we noted a challenge in coordinating and developing agendas.</w:t>
            </w:r>
          </w:p>
        </w:tc>
        <w:tc>
          <w:tcPr>
            <w:tcW w:w="3415" w:type="dxa"/>
            <w:shd w:val="clear" w:color="auto" w:fill="auto"/>
            <w:noWrap/>
            <w:hideMark/>
          </w:tcPr>
          <w:p w14:paraId="4CCF7B8A"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We discussed empowering the AD of DEI / Director of ODEI to a) coordinate and set the agenda for the first meeting or 2, and b) to provide draft agenda's for subsequent meetings to avoid this problem in the future.</w:t>
            </w:r>
          </w:p>
        </w:tc>
        <w:tc>
          <w:tcPr>
            <w:tcW w:w="1773" w:type="dxa"/>
            <w:shd w:val="clear" w:color="auto" w:fill="auto"/>
            <w:noWrap/>
            <w:hideMark/>
          </w:tcPr>
          <w:p w14:paraId="4EC345A8"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This was the barrier</w:t>
            </w:r>
          </w:p>
        </w:tc>
        <w:tc>
          <w:tcPr>
            <w:tcW w:w="2012" w:type="dxa"/>
            <w:shd w:val="clear" w:color="auto" w:fill="auto"/>
            <w:noWrap/>
            <w:hideMark/>
          </w:tcPr>
          <w:p w14:paraId="345426C8"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Ready to implement first thing in the Fall.</w:t>
            </w:r>
          </w:p>
        </w:tc>
        <w:tc>
          <w:tcPr>
            <w:tcW w:w="1188" w:type="dxa"/>
          </w:tcPr>
          <w:p w14:paraId="34BDED15"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p>
        </w:tc>
      </w:tr>
      <w:tr w:rsidR="00F47839" w:rsidRPr="00F47839" w14:paraId="1E0B572C" w14:textId="753D12B2" w:rsidTr="00F47839">
        <w:trPr>
          <w:trHeight w:val="255"/>
        </w:trPr>
        <w:tc>
          <w:tcPr>
            <w:tcW w:w="1194" w:type="dxa"/>
            <w:vMerge/>
            <w:shd w:val="clear" w:color="auto" w:fill="auto"/>
            <w:noWrap/>
            <w:vAlign w:val="center"/>
            <w:hideMark/>
          </w:tcPr>
          <w:p w14:paraId="3F97434E" w14:textId="77777777" w:rsidR="00F47839" w:rsidRPr="00F47839" w:rsidRDefault="00F47839" w:rsidP="00F47839">
            <w:pPr>
              <w:spacing w:after="0" w:line="240" w:lineRule="auto"/>
              <w:rPr>
                <w:rFonts w:ascii="Times New Roman" w:eastAsia="Times New Roman" w:hAnsi="Times New Roman" w:cs="Times New Roman"/>
                <w:kern w:val="0"/>
                <w:sz w:val="20"/>
                <w:szCs w:val="20"/>
                <w14:ligatures w14:val="none"/>
              </w:rPr>
            </w:pPr>
          </w:p>
        </w:tc>
        <w:tc>
          <w:tcPr>
            <w:tcW w:w="3373" w:type="dxa"/>
            <w:shd w:val="clear" w:color="auto" w:fill="auto"/>
            <w:hideMark/>
          </w:tcPr>
          <w:p w14:paraId="28FDEF30"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Not a charge, but we had extensive discussion on priorities for DC.</w:t>
            </w:r>
          </w:p>
        </w:tc>
        <w:tc>
          <w:tcPr>
            <w:tcW w:w="3415" w:type="dxa"/>
            <w:shd w:val="clear" w:color="auto" w:fill="auto"/>
            <w:noWrap/>
            <w:hideMark/>
          </w:tcPr>
          <w:p w14:paraId="30CDD4D6" w14:textId="0CC11164"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We had multiple discussions about the list of priorities for the DC and ended up focusing on two to try to move forward: 1) Considering how to create PD opportunities for faculty/staff/students to improve their awareness of and tools to improve equity in SOE; and 2) How DC/ODEI can best evaluate the impact of their programming for single events and longer term.</w:t>
            </w:r>
          </w:p>
        </w:tc>
        <w:tc>
          <w:tcPr>
            <w:tcW w:w="1773" w:type="dxa"/>
            <w:shd w:val="clear" w:color="auto" w:fill="auto"/>
            <w:noWrap/>
            <w:hideMark/>
          </w:tcPr>
          <w:p w14:paraId="636AEBC2"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 xml:space="preserve">Time for all the members to spend to move these ideas ahead: developing new programming and developing evaluation tools. </w:t>
            </w:r>
          </w:p>
        </w:tc>
        <w:tc>
          <w:tcPr>
            <w:tcW w:w="2012" w:type="dxa"/>
            <w:shd w:val="clear" w:color="auto" w:fill="auto"/>
            <w:noWrap/>
            <w:hideMark/>
          </w:tcPr>
          <w:p w14:paraId="17E35F66"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r w:rsidRPr="00F47839">
              <w:rPr>
                <w:rFonts w:ascii="Times New Roman" w:eastAsia="Times New Roman" w:hAnsi="Times New Roman" w:cs="Times New Roman"/>
                <w:color w:val="000000"/>
                <w:kern w:val="0"/>
                <w:sz w:val="20"/>
                <w:szCs w:val="20"/>
                <w14:ligatures w14:val="none"/>
              </w:rPr>
              <w:t>Spring 2025</w:t>
            </w:r>
          </w:p>
        </w:tc>
        <w:tc>
          <w:tcPr>
            <w:tcW w:w="1188" w:type="dxa"/>
          </w:tcPr>
          <w:p w14:paraId="43032F39" w14:textId="77777777" w:rsidR="00F47839" w:rsidRPr="00F47839" w:rsidRDefault="00F47839" w:rsidP="00F47839">
            <w:pPr>
              <w:spacing w:after="0" w:line="240" w:lineRule="auto"/>
              <w:rPr>
                <w:rFonts w:ascii="Times New Roman" w:eastAsia="Times New Roman" w:hAnsi="Times New Roman" w:cs="Times New Roman"/>
                <w:color w:val="000000"/>
                <w:kern w:val="0"/>
                <w:sz w:val="20"/>
                <w:szCs w:val="20"/>
                <w14:ligatures w14:val="none"/>
              </w:rPr>
            </w:pPr>
          </w:p>
        </w:tc>
      </w:tr>
    </w:tbl>
    <w:p w14:paraId="65B51C65" w14:textId="77777777" w:rsidR="00986C9F" w:rsidRDefault="00986C9F"/>
    <w:p w14:paraId="338E7E3C" w14:textId="51DED27D" w:rsidR="00F47839" w:rsidRDefault="00943649">
      <w:proofErr w:type="spellStart"/>
      <w:r>
        <w:t>Ity</w:t>
      </w:r>
      <w:proofErr w:type="spellEnd"/>
      <w:r>
        <w:t xml:space="preserve"> </w:t>
      </w:r>
    </w:p>
    <w:sectPr w:rsidR="00F47839" w:rsidSect="00887E1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39"/>
    <w:rsid w:val="0045102D"/>
    <w:rsid w:val="00887E1E"/>
    <w:rsid w:val="00943649"/>
    <w:rsid w:val="00986C9F"/>
    <w:rsid w:val="00A549B1"/>
    <w:rsid w:val="00E64E76"/>
    <w:rsid w:val="00F4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044F"/>
  <w15:chartTrackingRefBased/>
  <w15:docId w15:val="{4AFB146E-8EC1-470A-9E6E-1F74B962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8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78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8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8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78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8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839"/>
    <w:rPr>
      <w:rFonts w:eastAsiaTheme="majorEastAsia" w:cstheme="majorBidi"/>
      <w:color w:val="272727" w:themeColor="text1" w:themeTint="D8"/>
    </w:rPr>
  </w:style>
  <w:style w:type="paragraph" w:styleId="Title">
    <w:name w:val="Title"/>
    <w:basedOn w:val="Normal"/>
    <w:next w:val="Normal"/>
    <w:link w:val="TitleChar"/>
    <w:uiPriority w:val="10"/>
    <w:qFormat/>
    <w:rsid w:val="00F47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839"/>
    <w:pPr>
      <w:spacing w:before="160"/>
      <w:jc w:val="center"/>
    </w:pPr>
    <w:rPr>
      <w:i/>
      <w:iCs/>
      <w:color w:val="404040" w:themeColor="text1" w:themeTint="BF"/>
    </w:rPr>
  </w:style>
  <w:style w:type="character" w:customStyle="1" w:styleId="QuoteChar">
    <w:name w:val="Quote Char"/>
    <w:basedOn w:val="DefaultParagraphFont"/>
    <w:link w:val="Quote"/>
    <w:uiPriority w:val="29"/>
    <w:rsid w:val="00F47839"/>
    <w:rPr>
      <w:i/>
      <w:iCs/>
      <w:color w:val="404040" w:themeColor="text1" w:themeTint="BF"/>
    </w:rPr>
  </w:style>
  <w:style w:type="paragraph" w:styleId="ListParagraph">
    <w:name w:val="List Paragraph"/>
    <w:basedOn w:val="Normal"/>
    <w:uiPriority w:val="34"/>
    <w:qFormat/>
    <w:rsid w:val="00F47839"/>
    <w:pPr>
      <w:ind w:left="720"/>
      <w:contextualSpacing/>
    </w:pPr>
  </w:style>
  <w:style w:type="character" w:styleId="IntenseEmphasis">
    <w:name w:val="Intense Emphasis"/>
    <w:basedOn w:val="DefaultParagraphFont"/>
    <w:uiPriority w:val="21"/>
    <w:qFormat/>
    <w:rsid w:val="00F47839"/>
    <w:rPr>
      <w:i/>
      <w:iCs/>
      <w:color w:val="0F4761" w:themeColor="accent1" w:themeShade="BF"/>
    </w:rPr>
  </w:style>
  <w:style w:type="paragraph" w:styleId="IntenseQuote">
    <w:name w:val="Intense Quote"/>
    <w:basedOn w:val="Normal"/>
    <w:next w:val="Normal"/>
    <w:link w:val="IntenseQuoteChar"/>
    <w:uiPriority w:val="30"/>
    <w:qFormat/>
    <w:rsid w:val="00F47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839"/>
    <w:rPr>
      <w:i/>
      <w:iCs/>
      <w:color w:val="0F4761" w:themeColor="accent1" w:themeShade="BF"/>
    </w:rPr>
  </w:style>
  <w:style w:type="character" w:styleId="IntenseReference">
    <w:name w:val="Intense Reference"/>
    <w:basedOn w:val="DefaultParagraphFont"/>
    <w:uiPriority w:val="32"/>
    <w:qFormat/>
    <w:rsid w:val="00F478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3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Chandler Kris</dc:creator>
  <cp:keywords/>
  <dc:description/>
  <cp:lastModifiedBy>Hawkins, Chandler Kris</cp:lastModifiedBy>
  <cp:revision>2</cp:revision>
  <dcterms:created xsi:type="dcterms:W3CDTF">2024-05-02T18:31:00Z</dcterms:created>
  <dcterms:modified xsi:type="dcterms:W3CDTF">2024-05-02T18:47:00Z</dcterms:modified>
</cp:coreProperties>
</file>