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100"/>
      </w:pPr>
      <w:r>
        <w:rPr/>
        <w:t>2022-2023</w:t>
      </w:r>
      <w:r>
        <w:rPr>
          <w:spacing w:val="-10"/>
        </w:rPr>
        <w:t> </w:t>
      </w:r>
      <w:r>
        <w:rPr/>
        <w:t>Research,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&amp;</w:t>
      </w:r>
      <w:r>
        <w:rPr>
          <w:spacing w:val="-5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Partnerships</w:t>
      </w:r>
      <w:r>
        <w:rPr>
          <w:spacing w:val="-6"/>
        </w:rPr>
        <w:t> </w:t>
      </w:r>
      <w:r>
        <w:rPr/>
        <w:t>Committee</w:t>
      </w:r>
      <w:r>
        <w:rPr>
          <w:spacing w:val="-13"/>
        </w:rPr>
        <w:t> </w:t>
      </w:r>
      <w:r>
        <w:rPr/>
        <w:t>Annual</w:t>
      </w:r>
      <w:r>
        <w:rPr>
          <w:spacing w:val="-7"/>
        </w:rPr>
        <w:t> </w:t>
      </w:r>
      <w:r>
        <w:rPr>
          <w:spacing w:val="-2"/>
        </w:rPr>
        <w:t>Report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2933"/>
        <w:gridCol w:w="3185"/>
        <w:gridCol w:w="2455"/>
        <w:gridCol w:w="1161"/>
        <w:gridCol w:w="1922"/>
      </w:tblGrid>
      <w:tr>
        <w:trPr>
          <w:trHeight w:val="719" w:hRule="atLeast"/>
        </w:trPr>
        <w:tc>
          <w:tcPr>
            <w:tcW w:w="129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2933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318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245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623"/>
              <w:rPr>
                <w:sz w:val="20"/>
              </w:rPr>
            </w:pPr>
            <w:r>
              <w:rPr>
                <w:sz w:val="20"/>
              </w:rPr>
              <w:t>Barriers,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any</w:t>
            </w:r>
          </w:p>
        </w:tc>
        <w:tc>
          <w:tcPr>
            <w:tcW w:w="1161" w:type="dxa"/>
          </w:tcPr>
          <w:p>
            <w:pPr>
              <w:pStyle w:val="TableParagraph"/>
              <w:spacing w:line="230" w:lineRule="atLeast" w:before="9"/>
              <w:ind w:left="107" w:right="96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Estimated Completion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922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Notes</w:t>
            </w:r>
          </w:p>
        </w:tc>
      </w:tr>
      <w:tr>
        <w:trPr>
          <w:trHeight w:val="1410" w:hRule="atLeast"/>
        </w:trPr>
        <w:tc>
          <w:tcPr>
            <w:tcW w:w="129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ind w:left="107" w:right="92" w:hanging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Research, Development </w:t>
            </w:r>
            <w:r>
              <w:rPr>
                <w:sz w:val="20"/>
              </w:rPr>
              <w:t>&amp; External </w:t>
            </w:r>
            <w:r>
              <w:rPr>
                <w:spacing w:val="-2"/>
                <w:sz w:val="20"/>
              </w:rPr>
              <w:t>Partnerships</w:t>
            </w:r>
          </w:p>
        </w:tc>
        <w:tc>
          <w:tcPr>
            <w:tcW w:w="2933" w:type="dxa"/>
          </w:tcPr>
          <w:p>
            <w:pPr>
              <w:pStyle w:val="TableParagraph"/>
              <w:spacing w:before="14"/>
              <w:ind w:left="107" w:right="92"/>
              <w:rPr>
                <w:sz w:val="20"/>
              </w:rPr>
            </w:pPr>
            <w:r>
              <w:rPr>
                <w:sz w:val="20"/>
              </w:rPr>
              <w:t>Charge 1: Continue to develop and improve the calls for all awards overseen by the R&amp;D Office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faculty</w:t>
            </w:r>
          </w:p>
          <w:p>
            <w:pPr>
              <w:pStyle w:val="TableParagraph"/>
              <w:spacing w:line="230" w:lineRule="atLeast"/>
              <w:ind w:left="107" w:right="201"/>
              <w:rPr>
                <w:sz w:val="20"/>
              </w:rPr>
            </w:pPr>
            <w:r>
              <w:rPr>
                <w:sz w:val="20"/>
              </w:rPr>
              <w:t>awareness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 the competitions</w:t>
            </w:r>
          </w:p>
        </w:tc>
        <w:tc>
          <w:tcPr>
            <w:tcW w:w="3185" w:type="dxa"/>
          </w:tcPr>
          <w:p>
            <w:pPr>
              <w:pStyle w:val="TableParagraph"/>
              <w:spacing w:before="14"/>
              <w:ind w:left="104" w:right="151"/>
              <w:rPr>
                <w:sz w:val="20"/>
              </w:rPr>
            </w:pPr>
            <w:r>
              <w:rPr>
                <w:sz w:val="20"/>
              </w:rPr>
              <w:t>Continued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review,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biggest issue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Spring Competitions to get enough submissions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"usual suspects"</w:t>
            </w:r>
          </w:p>
        </w:tc>
        <w:tc>
          <w:tcPr>
            <w:tcW w:w="2455" w:type="dxa"/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Still some confusion that results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two submission periods.</w:t>
            </w:r>
          </w:p>
        </w:tc>
        <w:tc>
          <w:tcPr>
            <w:tcW w:w="1161" w:type="dxa"/>
          </w:tcPr>
          <w:p>
            <w:pPr>
              <w:pStyle w:val="TableParagraph"/>
              <w:spacing w:before="14"/>
              <w:ind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08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spacing w:before="14"/>
              <w:ind w:left="107" w:right="92"/>
              <w:rPr>
                <w:sz w:val="20"/>
              </w:rPr>
            </w:pPr>
            <w:r>
              <w:rPr>
                <w:sz w:val="20"/>
              </w:rPr>
              <w:t>Charge 2: Continue to examine 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potentially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guidelines 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reviewing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awarding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both the Research and External Partnership awards.</w:t>
            </w:r>
          </w:p>
        </w:tc>
        <w:tc>
          <w:tcPr>
            <w:tcW w:w="3185" w:type="dxa"/>
          </w:tcPr>
          <w:p>
            <w:pPr>
              <w:pStyle w:val="TableParagraph"/>
              <w:spacing w:before="14"/>
              <w:ind w:left="104" w:right="163"/>
              <w:rPr>
                <w:sz w:val="20"/>
              </w:rPr>
            </w:pPr>
            <w:r>
              <w:rPr>
                <w:sz w:val="20"/>
              </w:rPr>
              <w:t>The process is still a bit clunky. Dept chairs are not all timely and some don't follow the guidelines, e.g., one dept put forward three</w:t>
            </w:r>
          </w:p>
          <w:p>
            <w:pPr>
              <w:pStyle w:val="TableParagraph"/>
              <w:spacing w:line="230" w:lineRule="exact"/>
              <w:ind w:left="104" w:right="151"/>
              <w:rPr>
                <w:sz w:val="20"/>
              </w:rPr>
            </w:pPr>
            <w:r>
              <w:rPr>
                <w:sz w:val="20"/>
              </w:rPr>
              <w:t>names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award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 the other</w:t>
            </w:r>
          </w:p>
        </w:tc>
        <w:tc>
          <w:tcPr>
            <w:tcW w:w="2455" w:type="dxa"/>
          </w:tcPr>
          <w:p>
            <w:pPr>
              <w:pStyle w:val="TableParagraph"/>
              <w:spacing w:before="14"/>
              <w:ind w:left="106" w:right="119"/>
              <w:rPr>
                <w:sz w:val="20"/>
              </w:rPr>
            </w:pPr>
            <w:r>
              <w:rPr>
                <w:sz w:val="20"/>
              </w:rPr>
              <w:t>Department chairs need to be more attentive to the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task of nominating the appropriate number of faculty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programs</w:t>
            </w:r>
          </w:p>
        </w:tc>
        <w:tc>
          <w:tcPr>
            <w:tcW w:w="1161" w:type="dxa"/>
          </w:tcPr>
          <w:p>
            <w:pPr>
              <w:pStyle w:val="TableParagraph"/>
              <w:spacing w:before="14"/>
              <w:ind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99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spacing w:before="17"/>
              <w:ind w:left="107" w:right="124"/>
              <w:rPr>
                <w:sz w:val="20"/>
              </w:rPr>
            </w:pPr>
            <w:r>
              <w:rPr>
                <w:sz w:val="20"/>
              </w:rPr>
              <w:t>Charge 3: Implement processes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to support additional grant applications building on the expertise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writing support specialist</w:t>
            </w:r>
          </w:p>
        </w:tc>
        <w:tc>
          <w:tcPr>
            <w:tcW w:w="3185" w:type="dxa"/>
          </w:tcPr>
          <w:p>
            <w:pPr>
              <w:pStyle w:val="TableParagraph"/>
              <w:spacing w:before="17"/>
              <w:ind w:left="104" w:right="41"/>
              <w:rPr>
                <w:sz w:val="20"/>
              </w:rPr>
            </w:pPr>
            <w:r>
              <w:rPr>
                <w:sz w:val="20"/>
              </w:rPr>
              <w:t>A grant writing workshop was held and was attended by folks who all submitted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one in Spring). The grant writing specialist was not involved for whatever reason</w:t>
            </w:r>
          </w:p>
        </w:tc>
        <w:tc>
          <w:tcPr>
            <w:tcW w:w="2455" w:type="dxa"/>
          </w:tcPr>
          <w:p>
            <w:pPr>
              <w:pStyle w:val="TableParagraph"/>
              <w:spacing w:before="17"/>
              <w:ind w:left="106" w:right="144"/>
              <w:rPr>
                <w:sz w:val="20"/>
              </w:rPr>
            </w:pPr>
            <w:r>
              <w:rPr>
                <w:sz w:val="20"/>
              </w:rPr>
              <w:t>It is difficult, and a generally ineffective strategy, to have faculty committee members responsible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this.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is where the RD&amp;EP Office should provide more support, but that is</w:t>
            </w: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currently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case.</w:t>
            </w:r>
          </w:p>
        </w:tc>
        <w:tc>
          <w:tcPr>
            <w:tcW w:w="1161" w:type="dxa"/>
          </w:tcPr>
          <w:p>
            <w:pPr>
              <w:pStyle w:val="TableParagraph"/>
              <w:spacing w:before="17"/>
              <w:ind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01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spacing w:before="17"/>
              <w:ind w:left="107" w:right="142"/>
              <w:rPr>
                <w:sz w:val="20"/>
              </w:rPr>
            </w:pPr>
            <w:r>
              <w:rPr>
                <w:sz w:val="20"/>
              </w:rPr>
              <w:t>Charge 4: Continue annual review of grant solicitations to ensure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grants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directed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as intended to seed research for young scholars</w:t>
            </w:r>
          </w:p>
        </w:tc>
        <w:tc>
          <w:tcPr>
            <w:tcW w:w="3185" w:type="dxa"/>
          </w:tcPr>
          <w:p>
            <w:pPr>
              <w:pStyle w:val="TableParagraph"/>
              <w:spacing w:before="17"/>
              <w:ind w:left="104" w:right="151"/>
              <w:rPr>
                <w:sz w:val="20"/>
              </w:rPr>
            </w:pPr>
            <w:r>
              <w:rPr>
                <w:sz w:val="20"/>
              </w:rPr>
              <w:t>We made some progress in getting young scholars to apply (and be awarded). There is still difficulties since one program is not eligible, given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Proffitt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grant that excludes higher education (despite this two young higher ed</w:t>
            </w:r>
          </w:p>
          <w:p>
            <w:pPr>
              <w:pStyle w:val="TableParagraph"/>
              <w:spacing w:line="230" w:lineRule="exact"/>
              <w:ind w:left="104" w:right="151"/>
              <w:rPr>
                <w:sz w:val="20"/>
              </w:rPr>
            </w:pPr>
            <w:r>
              <w:rPr>
                <w:sz w:val="20"/>
              </w:rPr>
              <w:t>scholars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Summer Proffitts, but that was a stretch)</w:t>
            </w:r>
          </w:p>
        </w:tc>
        <w:tc>
          <w:tcPr>
            <w:tcW w:w="2455" w:type="dxa"/>
          </w:tcPr>
          <w:p>
            <w:pPr>
              <w:pStyle w:val="TableParagraph"/>
              <w:spacing w:before="17"/>
              <w:ind w:left="106" w:right="144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proactive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from the RD&amp;EP office can do this, not a faculty </w:t>
            </w: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1161" w:type="dxa"/>
          </w:tcPr>
          <w:p>
            <w:pPr>
              <w:pStyle w:val="TableParagraph"/>
              <w:spacing w:before="17"/>
              <w:ind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0" w:hRule="atLeast"/>
        </w:trPr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spacing w:before="14"/>
              <w:ind w:left="107" w:right="201"/>
              <w:rPr>
                <w:sz w:val="20"/>
              </w:rPr>
            </w:pPr>
            <w:r>
              <w:rPr>
                <w:sz w:val="20"/>
              </w:rPr>
              <w:t>Charge 5: Consider either revising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adding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additional category to the Outstanding</w:t>
            </w:r>
          </w:p>
          <w:p>
            <w:pPr>
              <w:pStyle w:val="TableParagraph"/>
              <w:spacing w:line="230" w:lineRule="exact"/>
              <w:ind w:left="107" w:right="92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Award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young scholars have a chance</w:t>
            </w:r>
          </w:p>
        </w:tc>
        <w:tc>
          <w:tcPr>
            <w:tcW w:w="3185" w:type="dxa"/>
          </w:tcPr>
          <w:p>
            <w:pPr>
              <w:pStyle w:val="TableParagraph"/>
              <w:spacing w:before="14"/>
              <w:ind w:left="104" w:right="151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has so far been slapped down by those </w:t>
            </w:r>
            <w:r>
              <w:rPr>
                <w:spacing w:val="-2"/>
                <w:sz w:val="20"/>
              </w:rPr>
              <w:t>above.</w:t>
            </w:r>
          </w:p>
        </w:tc>
        <w:tc>
          <w:tcPr>
            <w:tcW w:w="2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14"/>
              <w:ind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5840" w:h="12240" w:orient="landscape"/>
      <w:pgMar w:top="6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Chandler Kris</dc:creator>
  <dc:description/>
  <dcterms:created xsi:type="dcterms:W3CDTF">2024-05-23T17:09:50Z</dcterms:created>
  <dcterms:modified xsi:type="dcterms:W3CDTF">2024-05-23T17:09:50Z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D:20231005154733</vt:lpwstr>
  </property>
</Properties>
</file>